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Style w:val="8"/>
          <w:rFonts w:ascii="Helvetica" w:hAnsi="Helvetica" w:cs="Helvetica"/>
          <w:color w:val="000000" w:themeColor="text1"/>
          <w:sz w:val="27"/>
          <w:szCs w:val="27"/>
        </w:rPr>
      </w:pPr>
      <w:r>
        <w:rPr>
          <w:rStyle w:val="8"/>
          <w:rFonts w:ascii="Helvetica" w:hAnsi="Helvetica" w:cs="Helvetica"/>
          <w:color w:val="000000" w:themeColor="text1"/>
          <w:sz w:val="27"/>
          <w:szCs w:val="27"/>
        </w:rPr>
        <w:t>交通聚变，未来已来——2018机场+高铁站+TOD创新发展论坛</w:t>
      </w:r>
    </w:p>
    <w:p>
      <w:pPr>
        <w:ind w:firstLine="420"/>
        <w:jc w:val="center"/>
        <w:rPr>
          <w:rStyle w:val="8"/>
          <w:rFonts w:ascii="Helvetica" w:hAnsi="Helvetica" w:cs="Helvetica"/>
          <w:color w:val="000000" w:themeColor="text1"/>
          <w:sz w:val="27"/>
          <w:szCs w:val="27"/>
        </w:rPr>
      </w:pPr>
      <w:r>
        <w:rPr>
          <w:rStyle w:val="8"/>
          <w:rFonts w:ascii="Helvetica" w:hAnsi="Helvetica" w:cs="Helvetica"/>
          <w:color w:val="0070C0"/>
          <w:sz w:val="27"/>
          <w:szCs w:val="27"/>
        </w:rPr>
        <w:t>暨</w:t>
      </w:r>
      <w:r>
        <w:rPr>
          <w:rStyle w:val="8"/>
          <w:rFonts w:ascii="Helvetica" w:hAnsi="Helvetica" w:cs="Helvetica"/>
          <w:color w:val="000000" w:themeColor="text1"/>
          <w:sz w:val="27"/>
          <w:szCs w:val="27"/>
        </w:rPr>
        <w:t>广东省工程勘察设计行业协会建筑专业委员会成立仪式</w:t>
      </w:r>
    </w:p>
    <w:p>
      <w:pPr>
        <w:jc w:val="both"/>
        <w:rPr>
          <w:rFonts w:ascii="黑体" w:hAnsi="黑体" w:eastAsia="黑体" w:cs="黑体"/>
        </w:rPr>
      </w:pPr>
    </w:p>
    <w:p>
      <w:pPr>
        <w:jc w:val="both"/>
        <w:rPr>
          <w:rFonts w:ascii="黑体" w:hAnsi="黑体" w:eastAsia="黑体" w:cs="黑体"/>
        </w:rPr>
      </w:pPr>
      <w:r>
        <w:rPr>
          <w:rFonts w:hint="eastAsia" w:ascii="黑体" w:hAnsi="黑体" w:eastAsia="黑体" w:cs="黑体"/>
        </w:rPr>
        <w:t>指导机构：广东省住房与城乡建设厅</w:t>
      </w:r>
    </w:p>
    <w:p>
      <w:pPr>
        <w:jc w:val="both"/>
        <w:rPr>
          <w:rFonts w:ascii="黑体" w:hAnsi="黑体" w:eastAsia="黑体" w:cs="黑体"/>
        </w:rPr>
      </w:pPr>
      <w:r>
        <w:rPr>
          <w:rFonts w:hint="eastAsia" w:ascii="黑体" w:hAnsi="黑体" w:eastAsia="黑体" w:cs="黑体"/>
        </w:rPr>
        <w:t>主办机构：广东省工程勘察设计行业协会、广东省建筑设计研究院</w:t>
      </w:r>
    </w:p>
    <w:p>
      <w:pPr>
        <w:jc w:val="both"/>
        <w:rPr>
          <w:rFonts w:ascii="黑体" w:hAnsi="黑体" w:eastAsia="黑体" w:cs="黑体"/>
        </w:rPr>
      </w:pPr>
      <w:r>
        <w:rPr>
          <w:rFonts w:hint="eastAsia" w:ascii="黑体" w:hAnsi="黑体" w:eastAsia="黑体" w:cs="黑体"/>
        </w:rPr>
        <w:t>承办机构：《建筑技艺》杂志社（AT）</w:t>
      </w:r>
    </w:p>
    <w:p>
      <w:pPr>
        <w:jc w:val="both"/>
        <w:rPr>
          <w:rFonts w:ascii="黑体" w:hAnsi="黑体" w:eastAsia="黑体" w:cs="黑体"/>
        </w:rPr>
      </w:pPr>
      <w:r>
        <w:rPr>
          <w:rFonts w:hint="eastAsia" w:ascii="黑体" w:hAnsi="黑体" w:eastAsia="黑体" w:cs="黑体"/>
        </w:rPr>
        <w:t>时间：2018年</w:t>
      </w:r>
      <w:r>
        <w:rPr>
          <w:rFonts w:hint="eastAsia" w:ascii="黑体" w:hAnsi="黑体" w:eastAsia="黑体" w:cs="黑体"/>
          <w:b/>
          <w:color w:val="0070C0"/>
        </w:rPr>
        <w:t>11月22日</w:t>
      </w:r>
      <w:r>
        <w:rPr>
          <w:rFonts w:hint="eastAsia" w:ascii="黑体" w:hAnsi="黑体" w:eastAsia="黑体" w:cs="黑体"/>
        </w:rPr>
        <w:t>周四全天（论坛早</w:t>
      </w:r>
      <w:r>
        <w:rPr>
          <w:rFonts w:hint="eastAsia" w:ascii="黑体" w:hAnsi="黑体" w:eastAsia="黑体" w:cs="黑体"/>
          <w:b/>
          <w:color w:val="0070C0"/>
        </w:rPr>
        <w:t>8:30</w:t>
      </w:r>
      <w:r>
        <w:rPr>
          <w:rFonts w:hint="eastAsia" w:ascii="黑体" w:hAnsi="黑体" w:eastAsia="黑体" w:cs="黑体"/>
        </w:rPr>
        <w:t>开始，7:30-8:30会场门口报到）</w:t>
      </w:r>
    </w:p>
    <w:p>
      <w:pPr>
        <w:jc w:val="both"/>
        <w:rPr>
          <w:rFonts w:ascii="黑体" w:hAnsi="黑体" w:eastAsia="黑体" w:cs="黑体"/>
        </w:rPr>
      </w:pPr>
      <w:r>
        <w:rPr>
          <w:rFonts w:hint="eastAsia" w:ascii="黑体" w:hAnsi="黑体" w:eastAsia="黑体" w:cs="黑体"/>
        </w:rPr>
        <w:t>地点：广东大厦国际会议厅（广州市东风中路309号）</w:t>
      </w:r>
    </w:p>
    <w:p>
      <w:pPr>
        <w:jc w:val="both"/>
        <w:rPr>
          <w:rFonts w:ascii="黑体" w:hAnsi="黑体" w:eastAsia="黑体" w:cs="黑体"/>
        </w:rPr>
      </w:pPr>
    </w:p>
    <w:p>
      <w:pPr>
        <w:jc w:val="both"/>
        <w:rPr>
          <w:rFonts w:ascii="黑体" w:hAnsi="黑体" w:eastAsia="黑体" w:cs="黑体"/>
          <w:b/>
        </w:rPr>
      </w:pPr>
      <w:r>
        <w:rPr>
          <w:rFonts w:hint="eastAsia" w:ascii="黑体" w:hAnsi="黑体" w:eastAsia="黑体" w:cs="黑体"/>
          <w:b/>
        </w:rPr>
        <w:t>一、论坛背景</w:t>
      </w:r>
    </w:p>
    <w:p>
      <w:pPr>
        <w:ind w:firstLine="420"/>
        <w:jc w:val="both"/>
        <w:rPr>
          <w:rFonts w:ascii="黑体" w:hAnsi="黑体" w:eastAsia="黑体" w:cs="黑体"/>
        </w:rPr>
      </w:pPr>
      <w:r>
        <w:rPr>
          <w:rFonts w:hint="eastAsia" w:ascii="黑体" w:hAnsi="黑体" w:eastAsia="黑体" w:cs="黑体"/>
          <w:kern w:val="0"/>
        </w:rPr>
        <w:t>改革开放40年来，中国城市化发展迅猛，城市数量及城镇常住人口大幅增加，紧凑的城市形态和极高的人口密度对公共交通系统及转换空间的综合要求越来越高。</w:t>
      </w:r>
      <w:r>
        <w:rPr>
          <w:rFonts w:hint="eastAsia" w:ascii="黑体" w:hAnsi="黑体" w:eastAsia="黑体" w:cs="黑体"/>
        </w:rPr>
        <w:t>当代交通建筑除了承担交通功能外，逐渐融合了更多城市的服务功能，演变为“交通为前提，换乘为基础，体验为核心”。城市的转型最终需要创造未来发展的新引擎，完善公共空间与文化服务体系，激发城市的活力，实现可持续的城市综合开发，城市的交通综合设施将在未来扮演越来越重要的角色。这就对机场、高铁站、基于TOD的轨道交通综合开发等提出了更高的要求，城市管理者、设计者正在做出怎样的应对，成为本次论坛讨论的核心内容。</w:t>
      </w:r>
    </w:p>
    <w:p>
      <w:pPr>
        <w:ind w:firstLine="420"/>
        <w:jc w:val="both"/>
        <w:rPr>
          <w:rFonts w:ascii="黑体" w:hAnsi="黑体" w:eastAsia="黑体" w:cs="黑体"/>
        </w:rPr>
      </w:pPr>
      <w:r>
        <w:rPr>
          <w:rFonts w:hint="eastAsia" w:ascii="黑体" w:hAnsi="黑体" w:eastAsia="黑体" w:cs="黑体"/>
        </w:rPr>
        <w:t>本论坛将邀请国内及国际大型设计机构的知名建筑师演讲，分享案例包括</w:t>
      </w:r>
      <w:r>
        <w:rPr>
          <w:rFonts w:hint="eastAsia" w:ascii="黑体" w:hAnsi="黑体" w:eastAsia="黑体" w:cs="黑体"/>
          <w:color w:val="0070C0"/>
        </w:rPr>
        <w:t>广州白云机场T2航站楼、港珠澳大桥珠海通关口岸、北京新机场航站楼、新加坡樟宜机场T4航站楼、法国洛里昂火车站、伦敦国王十字火车站重建、武汉站、佛山西站、杭州东/西站、</w:t>
      </w:r>
      <w:r>
        <w:rPr>
          <w:rFonts w:ascii="黑体" w:hAnsi="黑体" w:eastAsia="黑体" w:cs="黑体"/>
          <w:color w:val="0070C0"/>
        </w:rPr>
        <w:t>深圳前海地下综合交通枢纽及上盖物业</w:t>
      </w:r>
      <w:r>
        <w:rPr>
          <w:rFonts w:hint="eastAsia" w:ascii="黑体" w:hAnsi="黑体" w:eastAsia="黑体" w:cs="黑体"/>
          <w:color w:val="0070C0"/>
        </w:rPr>
        <w:t>、广州中信泰富/凯达尔枢纽国际广场、重庆沙坪坝龙湖光年、佛山地铁二号线、</w:t>
      </w:r>
      <w:r>
        <w:rPr>
          <w:rFonts w:ascii="黑体" w:hAnsi="黑体" w:eastAsia="黑体" w:cs="黑体"/>
          <w:color w:val="0070C0"/>
        </w:rPr>
        <w:t>广州地铁第三期、广佛东环城际</w:t>
      </w:r>
      <w:r>
        <w:rPr>
          <w:rFonts w:hint="eastAsia" w:ascii="黑体" w:hAnsi="黑体" w:eastAsia="黑体" w:cs="黑体"/>
        </w:rPr>
        <w:t>等热点项目。</w:t>
      </w:r>
    </w:p>
    <w:p>
      <w:pPr>
        <w:ind w:firstLine="420"/>
        <w:jc w:val="both"/>
        <w:rPr>
          <w:rFonts w:ascii="黑体" w:hAnsi="黑体" w:eastAsia="黑体" w:cs="黑体"/>
        </w:rPr>
      </w:pPr>
      <w:r>
        <w:rPr>
          <w:rFonts w:ascii="黑体" w:hAnsi="黑体" w:eastAsia="黑体" w:cs="黑体"/>
        </w:rPr>
        <w:t>论坛同时作为广东省工程勘察设计行业协会“建筑春天”系列活动之一，同期举行“广东省工程勘察设计行业协会建筑专业委员会”成立仪式，</w:t>
      </w:r>
      <w:r>
        <w:rPr>
          <w:rFonts w:hint="eastAsia" w:ascii="黑体" w:hAnsi="黑体" w:eastAsia="黑体" w:cs="黑体"/>
        </w:rPr>
        <w:t>以期</w:t>
      </w:r>
      <w:r>
        <w:rPr>
          <w:rFonts w:ascii="黑体" w:hAnsi="黑体" w:eastAsia="黑体" w:cs="黑体"/>
        </w:rPr>
        <w:t>进一步倡导同行业建筑师们携手同心，共担新时代责任和使命，为美好生活繁荣建筑创作</w:t>
      </w:r>
      <w:r>
        <w:rPr>
          <w:rFonts w:hint="eastAsia" w:ascii="黑体" w:hAnsi="黑体" w:eastAsia="黑体" w:cs="黑体"/>
        </w:rPr>
        <w:t>。</w:t>
      </w:r>
    </w:p>
    <w:p>
      <w:pPr>
        <w:jc w:val="both"/>
        <w:rPr>
          <w:rFonts w:ascii="黑体" w:hAnsi="黑体" w:eastAsia="黑体" w:cs="黑体"/>
        </w:rPr>
      </w:pPr>
    </w:p>
    <w:p>
      <w:pPr>
        <w:jc w:val="both"/>
      </w:pPr>
      <w:r>
        <w:rPr>
          <w:rFonts w:hint="eastAsia" w:ascii="黑体" w:hAnsi="黑体" w:eastAsia="黑体" w:cs="黑体"/>
          <w:b/>
        </w:rPr>
        <w:t>二、</w:t>
      </w:r>
      <w:r>
        <w:rPr>
          <w:rFonts w:hint="eastAsia" w:ascii="黑体" w:hAnsi="黑体" w:eastAsia="黑体" w:cs="黑体"/>
          <w:b/>
          <w:lang w:eastAsia="zh-CN"/>
        </w:rPr>
        <w:t>日程安排</w:t>
      </w:r>
    </w:p>
    <w:tbl>
      <w:tblPr>
        <w:tblStyle w:val="10"/>
        <w:tblpPr w:leftFromText="180" w:rightFromText="180" w:vertAnchor="text" w:horzAnchor="page" w:tblpXSpec="center" w:tblpY="319"/>
        <w:tblOverlap w:val="never"/>
        <w:tblW w:w="10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212"/>
        <w:gridCol w:w="4332"/>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66" w:type="dxa"/>
            <w:gridSpan w:val="4"/>
            <w:shd w:val="clear" w:color="auto" w:fill="D7D7D7" w:themeFill="background1" w:themeFillShade="D8"/>
            <w:vAlign w:val="center"/>
          </w:tcPr>
          <w:p>
            <w:pPr>
              <w:keepNext w:val="0"/>
              <w:keepLines w:val="0"/>
              <w:pageBreakBefore w:val="0"/>
              <w:widowControl/>
              <w:kinsoku/>
              <w:wordWrap w:val="0"/>
              <w:overflowPunct/>
              <w:topLinePunct w:val="0"/>
              <w:autoSpaceDE/>
              <w:autoSpaceDN/>
              <w:bidi w:val="0"/>
              <w:snapToGrid/>
              <w:spacing w:line="240" w:lineRule="auto"/>
              <w:jc w:val="center"/>
              <w:textAlignment w:val="auto"/>
              <w:rPr>
                <w:rFonts w:hint="eastAsia" w:ascii="黑体" w:hAnsi="黑体" w:eastAsia="黑体" w:cs="黑体"/>
                <w:b/>
                <w:bCs/>
                <w:color w:val="auto"/>
                <w:kern w:val="0"/>
                <w:sz w:val="21"/>
                <w:szCs w:val="21"/>
                <w:lang w:eastAsia="zh-CN"/>
              </w:rPr>
            </w:pPr>
            <w:r>
              <w:rPr>
                <w:rFonts w:hint="eastAsia" w:ascii="黑体" w:hAnsi="黑体" w:eastAsia="黑体" w:cs="黑体"/>
                <w:b/>
                <w:bCs/>
                <w:color w:val="auto"/>
                <w:kern w:val="0"/>
                <w:sz w:val="21"/>
                <w:szCs w:val="21"/>
                <w:lang w:eastAsia="zh-CN"/>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66" w:type="dxa"/>
            <w:gridSpan w:val="4"/>
            <w:shd w:val="clear" w:color="auto" w:fill="D7D7D7" w:themeFill="background1" w:themeFillShade="D8"/>
            <w:vAlign w:val="center"/>
          </w:tcPr>
          <w:p>
            <w:pPr>
              <w:keepNext w:val="0"/>
              <w:keepLines w:val="0"/>
              <w:pageBreakBefore w:val="0"/>
              <w:widowControl/>
              <w:kinsoku/>
              <w:wordWrap w:val="0"/>
              <w:overflowPunct/>
              <w:topLinePunct w:val="0"/>
              <w:autoSpaceDE/>
              <w:autoSpaceDN/>
              <w:bidi w:val="0"/>
              <w:snapToGrid/>
              <w:spacing w:line="240" w:lineRule="auto"/>
              <w:jc w:val="center"/>
              <w:textAlignment w:val="auto"/>
              <w:rPr>
                <w:rFonts w:hint="eastAsia" w:ascii="黑体" w:hAnsi="黑体" w:eastAsia="黑体" w:cs="黑体"/>
                <w:b/>
                <w:bCs/>
                <w:color w:val="auto"/>
                <w:kern w:val="0"/>
                <w:sz w:val="21"/>
                <w:szCs w:val="21"/>
                <w:lang w:eastAsia="zh-CN"/>
              </w:rPr>
            </w:pPr>
            <w:r>
              <w:rPr>
                <w:rFonts w:hint="eastAsia" w:ascii="黑体" w:hAnsi="黑体" w:eastAsia="黑体" w:cs="黑体"/>
                <w:b/>
                <w:bCs/>
                <w:color w:val="auto"/>
                <w:kern w:val="0"/>
                <w:sz w:val="21"/>
                <w:szCs w:val="21"/>
                <w:lang w:eastAsia="zh-CN"/>
              </w:rPr>
              <w:t>广东省工程勘察设计行业协会建筑专业委员会成立仪式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66" w:type="dxa"/>
            <w:gridSpan w:val="4"/>
            <w:shd w:val="clear" w:color="auto" w:fill="D7D7D7" w:themeFill="background1" w:themeFillShade="D8"/>
            <w:vAlign w:val="center"/>
          </w:tcPr>
          <w:p>
            <w:pPr>
              <w:keepNext w:val="0"/>
              <w:keepLines w:val="0"/>
              <w:pageBreakBefore w:val="0"/>
              <w:widowControl/>
              <w:kinsoku/>
              <w:wordWrap w:val="0"/>
              <w:overflowPunct/>
              <w:topLinePunct w:val="0"/>
              <w:autoSpaceDE/>
              <w:autoSpaceDN/>
              <w:bidi w:val="0"/>
              <w:snapToGrid/>
              <w:spacing w:line="240" w:lineRule="auto"/>
              <w:jc w:val="center"/>
              <w:textAlignment w:val="auto"/>
              <w:rPr>
                <w:rFonts w:hint="eastAsia" w:ascii="黑体" w:hAnsi="黑体" w:eastAsia="黑体" w:cs="黑体"/>
                <w:b/>
                <w:bCs/>
                <w:color w:val="auto"/>
                <w:kern w:val="0"/>
                <w:sz w:val="21"/>
                <w:szCs w:val="21"/>
                <w:lang w:eastAsia="zh-CN"/>
              </w:rPr>
            </w:pPr>
            <w:r>
              <w:rPr>
                <w:rFonts w:hint="eastAsia" w:ascii="黑体" w:hAnsi="黑体" w:eastAsia="黑体" w:cs="黑体"/>
                <w:b/>
                <w:bCs/>
                <w:color w:val="auto"/>
                <w:kern w:val="0"/>
                <w:sz w:val="21"/>
                <w:szCs w:val="21"/>
                <w:lang w:eastAsia="zh-CN"/>
              </w:rPr>
              <w:t>广东省建筑设计研究院服务新白云国际机场20年纪念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shd w:val="clear" w:color="auto" w:fill="auto"/>
            <w:vAlign w:val="center"/>
          </w:tcPr>
          <w:p>
            <w:pPr>
              <w:keepNext w:val="0"/>
              <w:keepLines w:val="0"/>
              <w:pageBreakBefore w:val="0"/>
              <w:widowControl/>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8:30-9:00</w:t>
            </w:r>
          </w:p>
        </w:tc>
        <w:tc>
          <w:tcPr>
            <w:tcW w:w="9364" w:type="dxa"/>
            <w:gridSpan w:val="3"/>
            <w:shd w:val="clear" w:color="auto" w:fill="auto"/>
            <w:vAlign w:val="center"/>
          </w:tcPr>
          <w:p>
            <w:pPr>
              <w:keepNext w:val="0"/>
              <w:keepLines w:val="0"/>
              <w:pageBreakBefore w:val="0"/>
              <w:widowControl/>
              <w:kinsoku/>
              <w:wordWrap w:val="0"/>
              <w:overflowPunct/>
              <w:topLinePunct w:val="0"/>
              <w:autoSpaceDE/>
              <w:autoSpaceDN/>
              <w:bidi w:val="0"/>
              <w:snapToGrid/>
              <w:spacing w:line="240" w:lineRule="auto"/>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主持人：</w:t>
            </w:r>
            <w:r>
              <w:rPr>
                <w:rFonts w:hint="eastAsia" w:ascii="黑体" w:hAnsi="黑体" w:eastAsia="黑体" w:cs="黑体"/>
                <w:b/>
                <w:bCs/>
                <w:color w:val="auto"/>
                <w:kern w:val="0"/>
                <w:sz w:val="21"/>
                <w:szCs w:val="21"/>
                <w:lang w:eastAsia="zh-CN"/>
              </w:rPr>
              <w:t xml:space="preserve">江 </w:t>
            </w:r>
            <w:r>
              <w:rPr>
                <w:rFonts w:hint="eastAsia" w:ascii="黑体" w:hAnsi="黑体" w:eastAsia="黑体" w:cs="黑体"/>
                <w:b/>
                <w:bCs/>
                <w:color w:val="auto"/>
                <w:kern w:val="0"/>
                <w:sz w:val="21"/>
                <w:szCs w:val="21"/>
                <w:lang w:val="en-US" w:eastAsia="zh-CN"/>
              </w:rPr>
              <w:t xml:space="preserve"> </w:t>
            </w:r>
            <w:r>
              <w:rPr>
                <w:rFonts w:hint="eastAsia" w:ascii="黑体" w:hAnsi="黑体" w:eastAsia="黑体" w:cs="黑体"/>
                <w:b/>
                <w:bCs/>
                <w:color w:val="auto"/>
                <w:kern w:val="0"/>
                <w:sz w:val="21"/>
                <w:szCs w:val="21"/>
                <w:lang w:eastAsia="zh-CN"/>
              </w:rPr>
              <w:t>刚</w:t>
            </w:r>
            <w:r>
              <w:rPr>
                <w:rFonts w:hint="eastAsia" w:ascii="黑体" w:hAnsi="黑体" w:eastAsia="黑体" w:cs="黑体"/>
                <w:b w:val="0"/>
                <w:bCs w:val="0"/>
                <w:color w:val="auto"/>
                <w:kern w:val="0"/>
                <w:sz w:val="21"/>
                <w:szCs w:val="21"/>
                <w:lang w:eastAsia="zh-CN"/>
              </w:rPr>
              <w:t>，广东省建筑设计研究院执行总建筑师</w:t>
            </w:r>
          </w:p>
          <w:p>
            <w:pPr>
              <w:keepNext w:val="0"/>
              <w:keepLines w:val="0"/>
              <w:pageBreakBefore w:val="0"/>
              <w:widowControl/>
              <w:kinsoku/>
              <w:wordWrap w:val="0"/>
              <w:overflowPunct/>
              <w:topLinePunct w:val="0"/>
              <w:autoSpaceDE/>
              <w:autoSpaceDN/>
              <w:bidi w:val="0"/>
              <w:snapToGrid/>
              <w:spacing w:line="240" w:lineRule="auto"/>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 xml:space="preserve">嘉 </w:t>
            </w:r>
            <w:r>
              <w:rPr>
                <w:rFonts w:hint="eastAsia" w:ascii="黑体" w:hAnsi="黑体" w:eastAsia="黑体" w:cs="黑体"/>
                <w:b w:val="0"/>
                <w:bCs w:val="0"/>
                <w:color w:val="auto"/>
                <w:kern w:val="0"/>
                <w:sz w:val="21"/>
                <w:szCs w:val="21"/>
                <w:lang w:val="en-US" w:eastAsia="zh-CN"/>
              </w:rPr>
              <w:t xml:space="preserve"> </w:t>
            </w:r>
            <w:r>
              <w:rPr>
                <w:rFonts w:hint="eastAsia" w:ascii="黑体" w:hAnsi="黑体" w:eastAsia="黑体" w:cs="黑体"/>
                <w:b w:val="0"/>
                <w:bCs w:val="0"/>
                <w:color w:val="auto"/>
                <w:kern w:val="0"/>
                <w:sz w:val="21"/>
                <w:szCs w:val="21"/>
                <w:lang w:eastAsia="zh-CN"/>
              </w:rPr>
              <w:t>宾：</w:t>
            </w:r>
            <w:r>
              <w:rPr>
                <w:rFonts w:hint="eastAsia" w:ascii="黑体" w:hAnsi="黑体" w:eastAsia="黑体" w:cs="黑体"/>
                <w:b/>
                <w:bCs/>
                <w:color w:val="auto"/>
                <w:kern w:val="0"/>
                <w:sz w:val="21"/>
                <w:szCs w:val="21"/>
                <w:lang w:eastAsia="zh-CN"/>
              </w:rPr>
              <w:t xml:space="preserve">蔡 </w:t>
            </w:r>
            <w:r>
              <w:rPr>
                <w:rFonts w:hint="eastAsia" w:ascii="黑体" w:hAnsi="黑体" w:eastAsia="黑体" w:cs="黑体"/>
                <w:b/>
                <w:bCs/>
                <w:color w:val="auto"/>
                <w:kern w:val="0"/>
                <w:sz w:val="21"/>
                <w:szCs w:val="21"/>
                <w:lang w:val="en-US" w:eastAsia="zh-CN"/>
              </w:rPr>
              <w:t xml:space="preserve"> </w:t>
            </w:r>
            <w:r>
              <w:rPr>
                <w:rFonts w:hint="eastAsia" w:ascii="黑体" w:hAnsi="黑体" w:eastAsia="黑体" w:cs="黑体"/>
                <w:b/>
                <w:bCs/>
                <w:color w:val="auto"/>
                <w:kern w:val="0"/>
                <w:sz w:val="21"/>
                <w:szCs w:val="21"/>
                <w:lang w:eastAsia="zh-CN"/>
              </w:rPr>
              <w:t>瀛</w:t>
            </w:r>
            <w:r>
              <w:rPr>
                <w:rFonts w:hint="eastAsia" w:ascii="黑体" w:hAnsi="黑体" w:eastAsia="黑体" w:cs="黑体"/>
                <w:b w:val="0"/>
                <w:bCs w:val="0"/>
                <w:color w:val="auto"/>
                <w:kern w:val="0"/>
                <w:sz w:val="21"/>
                <w:szCs w:val="21"/>
                <w:lang w:eastAsia="zh-CN"/>
              </w:rPr>
              <w:t>，广东省住房与城乡建设厅副厅长</w:t>
            </w:r>
          </w:p>
          <w:p>
            <w:pPr>
              <w:keepNext w:val="0"/>
              <w:keepLines w:val="0"/>
              <w:pageBreakBefore w:val="0"/>
              <w:widowControl/>
              <w:kinsoku/>
              <w:wordWrap w:val="0"/>
              <w:overflowPunct/>
              <w:topLinePunct w:val="0"/>
              <w:autoSpaceDE/>
              <w:autoSpaceDN/>
              <w:bidi w:val="0"/>
              <w:snapToGrid/>
              <w:spacing w:line="240" w:lineRule="auto"/>
              <w:ind w:firstLine="843" w:firstLineChars="4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bCs/>
                <w:color w:val="auto"/>
                <w:kern w:val="0"/>
                <w:sz w:val="21"/>
                <w:szCs w:val="21"/>
                <w:lang w:eastAsia="zh-CN"/>
              </w:rPr>
              <w:t xml:space="preserve">陈 </w:t>
            </w:r>
            <w:r>
              <w:rPr>
                <w:rFonts w:hint="eastAsia" w:ascii="黑体" w:hAnsi="黑体" w:eastAsia="黑体" w:cs="黑体"/>
                <w:b/>
                <w:bCs/>
                <w:color w:val="auto"/>
                <w:kern w:val="0"/>
                <w:sz w:val="21"/>
                <w:szCs w:val="21"/>
                <w:lang w:val="en-US" w:eastAsia="zh-CN"/>
              </w:rPr>
              <w:t xml:space="preserve"> </w:t>
            </w:r>
            <w:r>
              <w:rPr>
                <w:rFonts w:hint="eastAsia" w:ascii="黑体" w:hAnsi="黑体" w:eastAsia="黑体" w:cs="黑体"/>
                <w:b/>
                <w:bCs/>
                <w:color w:val="auto"/>
                <w:kern w:val="0"/>
                <w:sz w:val="21"/>
                <w:szCs w:val="21"/>
                <w:lang w:eastAsia="zh-CN"/>
              </w:rPr>
              <w:t>轸</w:t>
            </w:r>
            <w:r>
              <w:rPr>
                <w:rFonts w:hint="eastAsia" w:ascii="黑体" w:hAnsi="黑体" w:eastAsia="黑体" w:cs="黑体"/>
                <w:b w:val="0"/>
                <w:bCs w:val="0"/>
                <w:color w:val="auto"/>
                <w:kern w:val="0"/>
                <w:sz w:val="21"/>
                <w:szCs w:val="21"/>
                <w:lang w:eastAsia="zh-CN"/>
              </w:rPr>
              <w:t>，中国勘察</w:t>
            </w:r>
            <w:bookmarkStart w:id="0" w:name="_GoBack"/>
            <w:bookmarkEnd w:id="0"/>
            <w:r>
              <w:rPr>
                <w:rFonts w:hint="eastAsia" w:ascii="黑体" w:hAnsi="黑体" w:eastAsia="黑体" w:cs="黑体"/>
                <w:b w:val="0"/>
                <w:bCs w:val="0"/>
                <w:color w:val="auto"/>
                <w:kern w:val="0"/>
                <w:sz w:val="21"/>
                <w:szCs w:val="21"/>
                <w:lang w:eastAsia="zh-CN"/>
              </w:rPr>
              <w:t>设计协会建筑设计分会秘书长</w:t>
            </w:r>
          </w:p>
          <w:p>
            <w:pPr>
              <w:keepNext w:val="0"/>
              <w:keepLines w:val="0"/>
              <w:pageBreakBefore w:val="0"/>
              <w:widowControl/>
              <w:kinsoku/>
              <w:wordWrap w:val="0"/>
              <w:overflowPunct/>
              <w:topLinePunct w:val="0"/>
              <w:autoSpaceDE/>
              <w:autoSpaceDN/>
              <w:bidi w:val="0"/>
              <w:snapToGrid/>
              <w:spacing w:line="240" w:lineRule="auto"/>
              <w:ind w:firstLine="843" w:firstLineChars="4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bCs/>
                <w:color w:val="auto"/>
                <w:kern w:val="0"/>
                <w:sz w:val="21"/>
                <w:szCs w:val="21"/>
                <w:lang w:eastAsia="zh-CN"/>
              </w:rPr>
              <w:t xml:space="preserve">陈 </w:t>
            </w:r>
            <w:r>
              <w:rPr>
                <w:rFonts w:hint="eastAsia" w:ascii="黑体" w:hAnsi="黑体" w:eastAsia="黑体" w:cs="黑体"/>
                <w:b/>
                <w:bCs/>
                <w:color w:val="auto"/>
                <w:kern w:val="0"/>
                <w:sz w:val="21"/>
                <w:szCs w:val="21"/>
                <w:lang w:val="en-US" w:eastAsia="zh-CN"/>
              </w:rPr>
              <w:t xml:space="preserve"> </w:t>
            </w:r>
            <w:r>
              <w:rPr>
                <w:rFonts w:hint="eastAsia" w:ascii="黑体" w:hAnsi="黑体" w:eastAsia="黑体" w:cs="黑体"/>
                <w:b/>
                <w:bCs/>
                <w:color w:val="auto"/>
                <w:kern w:val="0"/>
                <w:sz w:val="21"/>
                <w:szCs w:val="21"/>
                <w:lang w:eastAsia="zh-CN"/>
              </w:rPr>
              <w:t>星</w:t>
            </w:r>
            <w:r>
              <w:rPr>
                <w:rFonts w:hint="eastAsia" w:ascii="黑体" w:hAnsi="黑体" w:eastAsia="黑体" w:cs="黑体"/>
                <w:b w:val="0"/>
                <w:bCs w:val="0"/>
                <w:color w:val="auto"/>
                <w:kern w:val="0"/>
                <w:sz w:val="21"/>
                <w:szCs w:val="21"/>
                <w:lang w:eastAsia="zh-CN"/>
              </w:rPr>
              <w:t>，广东省工程勘察设计行业协会会长</w:t>
            </w:r>
          </w:p>
          <w:p>
            <w:pPr>
              <w:keepNext w:val="0"/>
              <w:keepLines w:val="0"/>
              <w:pageBreakBefore w:val="0"/>
              <w:widowControl/>
              <w:kinsoku/>
              <w:wordWrap w:val="0"/>
              <w:overflowPunct/>
              <w:topLinePunct w:val="0"/>
              <w:autoSpaceDE/>
              <w:autoSpaceDN/>
              <w:bidi w:val="0"/>
              <w:snapToGrid/>
              <w:spacing w:line="240" w:lineRule="auto"/>
              <w:ind w:firstLine="843" w:firstLineChars="4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bCs/>
                <w:color w:val="auto"/>
                <w:kern w:val="0"/>
                <w:sz w:val="21"/>
                <w:szCs w:val="21"/>
                <w:lang w:eastAsia="zh-CN"/>
              </w:rPr>
              <w:t>曾宪川</w:t>
            </w:r>
            <w:r>
              <w:rPr>
                <w:rFonts w:hint="eastAsia" w:ascii="黑体" w:hAnsi="黑体" w:eastAsia="黑体" w:cs="黑体"/>
                <w:b w:val="0"/>
                <w:bCs w:val="0"/>
                <w:color w:val="auto"/>
                <w:kern w:val="0"/>
                <w:sz w:val="21"/>
                <w:szCs w:val="21"/>
                <w:lang w:eastAsia="zh-CN"/>
              </w:rPr>
              <w:t>，广东省建筑设计研究院党委书记</w:t>
            </w:r>
          </w:p>
          <w:p>
            <w:pPr>
              <w:keepNext w:val="0"/>
              <w:keepLines w:val="0"/>
              <w:pageBreakBefore w:val="0"/>
              <w:widowControl/>
              <w:kinsoku/>
              <w:wordWrap w:val="0"/>
              <w:overflowPunct/>
              <w:topLinePunct w:val="0"/>
              <w:autoSpaceDE/>
              <w:autoSpaceDN/>
              <w:bidi w:val="0"/>
              <w:snapToGrid/>
              <w:spacing w:line="240" w:lineRule="auto"/>
              <w:ind w:firstLine="843" w:firstLineChars="4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bCs/>
                <w:color w:val="auto"/>
                <w:kern w:val="0"/>
                <w:sz w:val="21"/>
                <w:szCs w:val="21"/>
                <w:lang w:eastAsia="zh-CN"/>
              </w:rPr>
              <w:t xml:space="preserve">陈 </w:t>
            </w:r>
            <w:r>
              <w:rPr>
                <w:rFonts w:hint="eastAsia" w:ascii="黑体" w:hAnsi="黑体" w:eastAsia="黑体" w:cs="黑体"/>
                <w:b/>
                <w:bCs/>
                <w:color w:val="auto"/>
                <w:kern w:val="0"/>
                <w:sz w:val="21"/>
                <w:szCs w:val="21"/>
                <w:lang w:val="en-US" w:eastAsia="zh-CN"/>
              </w:rPr>
              <w:t xml:space="preserve"> </w:t>
            </w:r>
            <w:r>
              <w:rPr>
                <w:rFonts w:hint="eastAsia" w:ascii="黑体" w:hAnsi="黑体" w:eastAsia="黑体" w:cs="黑体"/>
                <w:b/>
                <w:bCs/>
                <w:color w:val="auto"/>
                <w:kern w:val="0"/>
                <w:sz w:val="21"/>
                <w:szCs w:val="21"/>
                <w:lang w:eastAsia="zh-CN"/>
              </w:rPr>
              <w:t>雄</w:t>
            </w:r>
            <w:r>
              <w:rPr>
                <w:rFonts w:hint="eastAsia" w:ascii="黑体" w:hAnsi="黑体" w:eastAsia="黑体" w:cs="黑体"/>
                <w:b w:val="0"/>
                <w:bCs w:val="0"/>
                <w:color w:val="auto"/>
                <w:kern w:val="0"/>
                <w:sz w:val="21"/>
                <w:szCs w:val="21"/>
                <w:lang w:eastAsia="zh-CN"/>
              </w:rPr>
              <w:t>，广东省建筑设计研究院副院长、总建筑师，全国工程勘察设计大师，</w:t>
            </w:r>
          </w:p>
          <w:p>
            <w:pPr>
              <w:keepNext w:val="0"/>
              <w:keepLines w:val="0"/>
              <w:pageBreakBefore w:val="0"/>
              <w:widowControl/>
              <w:kinsoku/>
              <w:wordWrap w:val="0"/>
              <w:overflowPunct/>
              <w:topLinePunct w:val="0"/>
              <w:autoSpaceDE/>
              <w:autoSpaceDN/>
              <w:bidi w:val="0"/>
              <w:snapToGrid/>
              <w:spacing w:line="240" w:lineRule="auto"/>
              <w:ind w:firstLine="1680" w:firstLineChars="8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广东省工程勘察设计行业协会建筑专业委员会主任</w:t>
            </w:r>
          </w:p>
          <w:p>
            <w:pPr>
              <w:keepNext w:val="0"/>
              <w:keepLines w:val="0"/>
              <w:pageBreakBefore w:val="0"/>
              <w:widowControl/>
              <w:kinsoku/>
              <w:wordWrap w:val="0"/>
              <w:overflowPunct/>
              <w:topLinePunct w:val="0"/>
              <w:autoSpaceDE/>
              <w:autoSpaceDN/>
              <w:bidi w:val="0"/>
              <w:snapToGrid/>
              <w:spacing w:line="240" w:lineRule="auto"/>
              <w:ind w:firstLine="843" w:firstLineChars="4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bCs/>
                <w:color w:val="auto"/>
                <w:kern w:val="0"/>
                <w:sz w:val="21"/>
                <w:szCs w:val="21"/>
                <w:lang w:eastAsia="zh-CN"/>
              </w:rPr>
              <w:t xml:space="preserve">周 </w:t>
            </w:r>
            <w:r>
              <w:rPr>
                <w:rFonts w:hint="eastAsia" w:ascii="黑体" w:hAnsi="黑体" w:eastAsia="黑体" w:cs="黑体"/>
                <w:b/>
                <w:bCs/>
                <w:color w:val="auto"/>
                <w:kern w:val="0"/>
                <w:sz w:val="21"/>
                <w:szCs w:val="21"/>
                <w:lang w:val="en-US" w:eastAsia="zh-CN"/>
              </w:rPr>
              <w:t xml:space="preserve"> </w:t>
            </w:r>
            <w:r>
              <w:rPr>
                <w:rFonts w:hint="eastAsia" w:ascii="黑体" w:hAnsi="黑体" w:eastAsia="黑体" w:cs="黑体"/>
                <w:b/>
                <w:bCs/>
                <w:color w:val="auto"/>
                <w:kern w:val="0"/>
                <w:sz w:val="21"/>
                <w:szCs w:val="21"/>
                <w:lang w:eastAsia="zh-CN"/>
              </w:rPr>
              <w:t>文</w:t>
            </w:r>
            <w:r>
              <w:rPr>
                <w:rFonts w:hint="eastAsia" w:ascii="黑体" w:hAnsi="黑体" w:eastAsia="黑体" w:cs="黑体"/>
                <w:b w:val="0"/>
                <w:bCs w:val="0"/>
                <w:color w:val="auto"/>
                <w:kern w:val="0"/>
                <w:sz w:val="21"/>
                <w:szCs w:val="21"/>
                <w:lang w:eastAsia="zh-CN"/>
              </w:rPr>
              <w:t>，广东省建筑设计研究院副总建筑师，</w:t>
            </w:r>
          </w:p>
          <w:p>
            <w:pPr>
              <w:keepNext w:val="0"/>
              <w:keepLines w:val="0"/>
              <w:pageBreakBefore w:val="0"/>
              <w:widowControl/>
              <w:kinsoku/>
              <w:wordWrap w:val="0"/>
              <w:overflowPunct/>
              <w:topLinePunct w:val="0"/>
              <w:autoSpaceDE/>
              <w:autoSpaceDN/>
              <w:bidi w:val="0"/>
              <w:snapToGrid/>
              <w:spacing w:line="240" w:lineRule="auto"/>
              <w:ind w:firstLine="1680" w:firstLineChars="800"/>
              <w:jc w:val="left"/>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广东省工程勘察设计行业协会建筑专业委员会秘书长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66" w:type="dxa"/>
            <w:gridSpan w:val="4"/>
            <w:shd w:val="clear" w:color="auto" w:fill="D9D9D9"/>
            <w:vAlign w:val="center"/>
          </w:tcPr>
          <w:p>
            <w:pPr>
              <w:keepNext w:val="0"/>
              <w:keepLines w:val="0"/>
              <w:pageBreakBefore w:val="0"/>
              <w:widowControl/>
              <w:kinsoku/>
              <w:wordWrap w:val="0"/>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上半场报告（主持人：</w:t>
            </w:r>
            <w:r>
              <w:rPr>
                <w:rFonts w:hint="eastAsia" w:ascii="黑体" w:hAnsi="黑体" w:eastAsia="黑体" w:cs="黑体"/>
                <w:b/>
                <w:bCs/>
                <w:color w:val="auto"/>
                <w:kern w:val="0"/>
                <w:sz w:val="21"/>
                <w:szCs w:val="21"/>
                <w:lang w:val="en-US" w:eastAsia="zh-CN"/>
              </w:rPr>
              <w:t>孙一民</w:t>
            </w:r>
            <w:r>
              <w:rPr>
                <w:rFonts w:hint="eastAsia" w:ascii="黑体" w:hAnsi="黑体" w:eastAsia="黑体" w:cs="黑体"/>
                <w:b w:val="0"/>
                <w:bCs w:val="0"/>
                <w:color w:val="auto"/>
                <w:kern w:val="0"/>
                <w:sz w:val="21"/>
                <w:szCs w:val="21"/>
                <w:lang w:val="en-US" w:eastAsia="zh-CN"/>
              </w:rPr>
              <w:t xml:space="preserve"> 华南理工大学建筑学院院长）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shd w:val="clear" w:color="auto" w:fill="D9D9D9"/>
            <w:vAlign w:val="center"/>
          </w:tcPr>
          <w:p>
            <w:pPr>
              <w:keepNext w:val="0"/>
              <w:keepLines w:val="0"/>
              <w:pageBreakBefore w:val="0"/>
              <w:widowControl/>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时间</w:t>
            </w:r>
          </w:p>
        </w:tc>
        <w:tc>
          <w:tcPr>
            <w:tcW w:w="1212" w:type="dxa"/>
            <w:shd w:val="clear" w:color="auto" w:fill="D9D9D9"/>
            <w:vAlign w:val="center"/>
          </w:tcPr>
          <w:p>
            <w:pPr>
              <w:keepNext w:val="0"/>
              <w:keepLines w:val="0"/>
              <w:pageBreakBefore w:val="0"/>
              <w:widowControl/>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姓名</w:t>
            </w:r>
          </w:p>
        </w:tc>
        <w:tc>
          <w:tcPr>
            <w:tcW w:w="4332" w:type="dxa"/>
            <w:shd w:val="clear" w:color="auto" w:fill="D9D9D9"/>
            <w:vAlign w:val="center"/>
          </w:tcPr>
          <w:p>
            <w:pPr>
              <w:keepNext w:val="0"/>
              <w:keepLines w:val="0"/>
              <w:pageBreakBefore w:val="0"/>
              <w:widowControl/>
              <w:kinsoku/>
              <w:wordWrap w:val="0"/>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单位、职务</w:t>
            </w:r>
          </w:p>
        </w:tc>
        <w:tc>
          <w:tcPr>
            <w:tcW w:w="3820" w:type="dxa"/>
            <w:shd w:val="clear" w:color="auto" w:fill="D9D9D9"/>
            <w:vAlign w:val="center"/>
          </w:tcPr>
          <w:p>
            <w:pPr>
              <w:keepNext w:val="0"/>
              <w:keepLines w:val="0"/>
              <w:pageBreakBefore w:val="0"/>
              <w:widowControl/>
              <w:kinsoku/>
              <w:wordWrap w:val="0"/>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报告题目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9:00-9:25</w:t>
            </w:r>
          </w:p>
        </w:tc>
        <w:tc>
          <w:tcPr>
            <w:tcW w:w="1212" w:type="dxa"/>
            <w:vAlign w:val="center"/>
          </w:tcPr>
          <w:p>
            <w:pPr>
              <w:jc w:val="center"/>
              <w:rPr>
                <w:rFonts w:hint="eastAsia" w:ascii="黑体" w:hAnsi="黑体" w:eastAsia="黑体" w:cs="黑体"/>
                <w:b/>
                <w:bCs/>
                <w:color w:val="auto"/>
                <w:kern w:val="0"/>
                <w:sz w:val="21"/>
                <w:szCs w:val="21"/>
                <w:lang w:val="en-US" w:eastAsia="zh-CN"/>
              </w:rPr>
            </w:pPr>
            <w:r>
              <w:rPr>
                <w:rFonts w:hint="eastAsia" w:ascii="黑体" w:hAnsi="黑体" w:eastAsia="黑体" w:cs="黑体"/>
                <w:b/>
                <w:bCs/>
                <w:sz w:val="21"/>
                <w:szCs w:val="21"/>
              </w:rPr>
              <w:t>陈雄</w:t>
            </w:r>
          </w:p>
        </w:tc>
        <w:tc>
          <w:tcPr>
            <w:tcW w:w="4332" w:type="dxa"/>
            <w:vAlign w:val="center"/>
          </w:tcPr>
          <w:p>
            <w:pPr>
              <w:jc w:val="both"/>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sz w:val="21"/>
                <w:szCs w:val="21"/>
              </w:rPr>
              <w:t>广东省建筑设计研究院副院长、总建筑师，全国工程勘察设计大师</w:t>
            </w:r>
          </w:p>
        </w:tc>
        <w:tc>
          <w:tcPr>
            <w:tcW w:w="3820" w:type="dxa"/>
            <w:vAlign w:val="center"/>
          </w:tcPr>
          <w:p>
            <w:pPr>
              <w:jc w:val="both"/>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sz w:val="21"/>
                <w:szCs w:val="21"/>
              </w:rPr>
              <w:t>超大型航站楼设计实践与思考——广州白云国际机场T2 航站楼设计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9:25-9:50</w:t>
            </w:r>
          </w:p>
        </w:tc>
        <w:tc>
          <w:tcPr>
            <w:tcW w:w="1212" w:type="dxa"/>
            <w:vAlign w:val="center"/>
          </w:tcPr>
          <w:p>
            <w:pPr>
              <w:jc w:val="center"/>
              <w:rPr>
                <w:rFonts w:hint="eastAsia" w:ascii="黑体" w:hAnsi="黑体" w:eastAsia="黑体" w:cs="黑体"/>
                <w:b/>
                <w:bCs/>
                <w:color w:val="auto"/>
                <w:kern w:val="0"/>
                <w:sz w:val="21"/>
                <w:szCs w:val="21"/>
                <w:lang w:val="en-US" w:eastAsia="zh-CN"/>
              </w:rPr>
            </w:pPr>
            <w:r>
              <w:rPr>
                <w:rFonts w:hint="eastAsia" w:ascii="黑体" w:hAnsi="黑体" w:eastAsia="黑体" w:cs="黑体"/>
                <w:b/>
                <w:bCs/>
                <w:sz w:val="21"/>
                <w:szCs w:val="21"/>
              </w:rPr>
              <w:t>郭建祥</w:t>
            </w:r>
          </w:p>
        </w:tc>
        <w:tc>
          <w:tcPr>
            <w:tcW w:w="4332" w:type="dxa"/>
            <w:vAlign w:val="center"/>
          </w:tcPr>
          <w:p>
            <w:pPr>
              <w:jc w:val="both"/>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sz w:val="21"/>
                <w:szCs w:val="21"/>
              </w:rPr>
              <w:t>华建集团华东建筑设计研究总院副院长、总建筑师</w:t>
            </w:r>
          </w:p>
        </w:tc>
        <w:tc>
          <w:tcPr>
            <w:tcW w:w="3820" w:type="dxa"/>
            <w:vAlign w:val="center"/>
          </w:tcPr>
          <w:p>
            <w:pPr>
              <w:jc w:val="both"/>
              <w:rPr>
                <w:rFonts w:hint="eastAsia" w:ascii="黑体" w:hAnsi="黑体" w:eastAsia="黑体" w:cs="黑体"/>
                <w:b w:val="0"/>
                <w:bCs w:val="0"/>
                <w:sz w:val="21"/>
                <w:szCs w:val="21"/>
              </w:rPr>
            </w:pPr>
            <w:r>
              <w:rPr>
                <w:rFonts w:hint="eastAsia" w:ascii="黑体" w:hAnsi="黑体" w:eastAsia="黑体" w:cs="黑体"/>
                <w:b w:val="0"/>
                <w:bCs w:val="0"/>
                <w:sz w:val="21"/>
                <w:szCs w:val="21"/>
              </w:rPr>
              <w:t>综合交通枢纽设计的六个维度与港珠澳</w:t>
            </w:r>
          </w:p>
          <w:p>
            <w:pPr>
              <w:jc w:val="both"/>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sz w:val="21"/>
                <w:szCs w:val="21"/>
              </w:rPr>
              <w:t>大桥人工岛口岸工程的设计实践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02" w:type="dxa"/>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9:50-10:15</w:t>
            </w:r>
          </w:p>
        </w:tc>
        <w:tc>
          <w:tcPr>
            <w:tcW w:w="1212" w:type="dxa"/>
            <w:vAlign w:val="center"/>
          </w:tcPr>
          <w:p>
            <w:pPr>
              <w:jc w:val="center"/>
              <w:rPr>
                <w:rFonts w:hint="eastAsia" w:ascii="黑体" w:hAnsi="黑体" w:eastAsia="黑体" w:cs="黑体"/>
                <w:b/>
                <w:bCs/>
                <w:color w:val="auto"/>
                <w:kern w:val="0"/>
                <w:sz w:val="21"/>
                <w:szCs w:val="21"/>
                <w:lang w:val="en-US" w:eastAsia="zh-CN"/>
              </w:rPr>
            </w:pPr>
            <w:r>
              <w:rPr>
                <w:rFonts w:hint="eastAsia" w:ascii="黑体" w:hAnsi="黑体" w:eastAsia="黑体" w:cs="黑体"/>
                <w:b/>
                <w:bCs/>
                <w:sz w:val="21"/>
                <w:szCs w:val="21"/>
              </w:rPr>
              <w:t>盛</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晖</w:t>
            </w:r>
          </w:p>
        </w:tc>
        <w:tc>
          <w:tcPr>
            <w:tcW w:w="4332" w:type="dxa"/>
            <w:vAlign w:val="center"/>
          </w:tcPr>
          <w:p>
            <w:pPr>
              <w:jc w:val="both"/>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sz w:val="21"/>
                <w:szCs w:val="21"/>
              </w:rPr>
              <w:t>中铁第四勘察设计院集团有限公司副总建筑师</w:t>
            </w:r>
          </w:p>
        </w:tc>
        <w:tc>
          <w:tcPr>
            <w:tcW w:w="3820" w:type="dxa"/>
            <w:vAlign w:val="center"/>
          </w:tcPr>
          <w:p>
            <w:pPr>
              <w:jc w:val="both"/>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sz w:val="21"/>
                <w:szCs w:val="21"/>
              </w:rPr>
              <w:t>中国第四代铁路客站设计探索和实践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10:35-10:45</w:t>
            </w:r>
          </w:p>
        </w:tc>
        <w:tc>
          <w:tcPr>
            <w:tcW w:w="9364" w:type="dxa"/>
            <w:gridSpan w:val="3"/>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66" w:type="dxa"/>
            <w:gridSpan w:val="4"/>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下半场报告（主持人：</w:t>
            </w:r>
            <w:r>
              <w:rPr>
                <w:rFonts w:hint="eastAsia" w:ascii="黑体" w:hAnsi="黑体" w:eastAsia="黑体" w:cs="黑体"/>
                <w:b/>
                <w:bCs/>
                <w:color w:val="auto"/>
                <w:kern w:val="0"/>
                <w:sz w:val="21"/>
                <w:szCs w:val="21"/>
                <w:lang w:val="en-US" w:eastAsia="zh-CN"/>
              </w:rPr>
              <w:t>傅绍辉</w:t>
            </w:r>
            <w:r>
              <w:rPr>
                <w:rFonts w:hint="eastAsia" w:ascii="黑体" w:hAnsi="黑体" w:eastAsia="黑体" w:cs="黑体"/>
                <w:b w:val="0"/>
                <w:bCs w:val="0"/>
                <w:color w:val="auto"/>
                <w:kern w:val="0"/>
                <w:sz w:val="21"/>
                <w:szCs w:val="21"/>
                <w:lang w:val="en-US" w:eastAsia="zh-CN"/>
              </w:rPr>
              <w:t xml:space="preserve"> 中国航空规划设计研究总院有限公司首席总建筑师）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1402" w:type="dxa"/>
            <w:vAlign w:val="center"/>
          </w:tcPr>
          <w:p>
            <w:pPr>
              <w:pStyle w:val="17"/>
              <w:spacing w:beforeLines="0" w:afterLines="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10:25-10:50</w:t>
            </w:r>
          </w:p>
        </w:tc>
        <w:tc>
          <w:tcPr>
            <w:tcW w:w="1212" w:type="dxa"/>
            <w:vAlign w:val="center"/>
          </w:tcPr>
          <w:p>
            <w:pPr>
              <w:pStyle w:val="17"/>
              <w:spacing w:beforeLines="0" w:afterLines="0"/>
              <w:jc w:val="center"/>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吴  蔚</w:t>
            </w:r>
          </w:p>
        </w:tc>
        <w:tc>
          <w:tcPr>
            <w:tcW w:w="4332" w:type="dxa"/>
            <w:vAlign w:val="center"/>
          </w:tcPr>
          <w:p>
            <w:pPr>
              <w:pStyle w:val="19"/>
              <w:spacing w:beforeLines="0" w:afterLines="0"/>
              <w:jc w:val="both"/>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德国gmp 建筑师事务所中国区合伙人、首席代表</w:t>
            </w:r>
          </w:p>
        </w:tc>
        <w:tc>
          <w:tcPr>
            <w:tcW w:w="3820" w:type="dxa"/>
            <w:vAlign w:val="center"/>
          </w:tcPr>
          <w:p>
            <w:pPr>
              <w:pStyle w:val="19"/>
              <w:spacing w:beforeLines="0" w:afterLines="0"/>
              <w:jc w:val="both"/>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从柏林到深圳</w:t>
            </w:r>
            <w:r>
              <w:rPr>
                <w:rFonts w:hint="default" w:ascii="黑体" w:hAnsi="黑体" w:eastAsia="黑体" w:cs="黑体"/>
                <w:b w:val="0"/>
                <w:bCs w:val="0"/>
                <w:kern w:val="2"/>
                <w:sz w:val="21"/>
                <w:szCs w:val="21"/>
                <w:lang w:val="en-US" w:eastAsia="zh-CN" w:bidi="ar-SA"/>
              </w:rPr>
              <w:t>——</w:t>
            </w:r>
            <w:r>
              <w:rPr>
                <w:rFonts w:hint="eastAsia" w:ascii="黑体" w:hAnsi="黑体" w:eastAsia="黑体" w:cs="黑体"/>
                <w:b w:val="0"/>
                <w:bCs w:val="0"/>
                <w:kern w:val="2"/>
                <w:sz w:val="21"/>
                <w:szCs w:val="21"/>
                <w:lang w:val="en-US" w:eastAsia="zh-CN" w:bidi="ar-SA"/>
              </w:rPr>
              <w:t>地下交通枢纽与城市空间关系的延续和变迁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1402" w:type="dxa"/>
            <w:vAlign w:val="center"/>
          </w:tcPr>
          <w:p>
            <w:pPr>
              <w:pStyle w:val="17"/>
              <w:spacing w:beforeLines="0" w:afterLines="0"/>
              <w:jc w:val="center"/>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10:50-11:15</w:t>
            </w:r>
          </w:p>
        </w:tc>
        <w:tc>
          <w:tcPr>
            <w:tcW w:w="1212" w:type="dxa"/>
            <w:vAlign w:val="center"/>
          </w:tcPr>
          <w:p>
            <w:pPr>
              <w:pStyle w:val="17"/>
              <w:spacing w:beforeLines="0" w:afterLines="0"/>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王晓群</w:t>
            </w:r>
          </w:p>
        </w:tc>
        <w:tc>
          <w:tcPr>
            <w:tcW w:w="4332" w:type="dxa"/>
            <w:vAlign w:val="center"/>
          </w:tcPr>
          <w:p>
            <w:pPr>
              <w:pStyle w:val="19"/>
              <w:spacing w:beforeLines="0" w:afterLines="0"/>
              <w:jc w:val="both"/>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北京市建筑设计研究院有限公司副总建筑师，机场建筑研究中心主任</w:t>
            </w:r>
          </w:p>
        </w:tc>
        <w:tc>
          <w:tcPr>
            <w:tcW w:w="3820" w:type="dxa"/>
            <w:vAlign w:val="center"/>
          </w:tcPr>
          <w:p>
            <w:pPr>
              <w:pStyle w:val="19"/>
              <w:spacing w:beforeLines="0" w:afterLines="0"/>
              <w:jc w:val="both"/>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北京新机场航站楼设计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vAlign w:val="center"/>
          </w:tcPr>
          <w:p>
            <w:pPr>
              <w:pStyle w:val="17"/>
              <w:spacing w:beforeLines="0" w:afterLines="0"/>
              <w:jc w:val="center"/>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11:15-11:40</w:t>
            </w:r>
          </w:p>
        </w:tc>
        <w:tc>
          <w:tcPr>
            <w:tcW w:w="1212" w:type="dxa"/>
            <w:vAlign w:val="center"/>
          </w:tcPr>
          <w:p>
            <w:pPr>
              <w:pStyle w:val="17"/>
              <w:spacing w:beforeLines="0" w:afterLines="0"/>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李春舫</w:t>
            </w:r>
          </w:p>
        </w:tc>
        <w:tc>
          <w:tcPr>
            <w:tcW w:w="4332" w:type="dxa"/>
            <w:vAlign w:val="center"/>
          </w:tcPr>
          <w:p>
            <w:pPr>
              <w:pStyle w:val="17"/>
              <w:spacing w:beforeLines="0" w:afterLines="0"/>
              <w:jc w:val="both"/>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中南建筑设计院股份有限公司总建筑师</w:t>
            </w:r>
          </w:p>
        </w:tc>
        <w:tc>
          <w:tcPr>
            <w:tcW w:w="3820" w:type="dxa"/>
            <w:vAlign w:val="center"/>
          </w:tcPr>
          <w:p>
            <w:pPr>
              <w:pStyle w:val="17"/>
              <w:spacing w:beforeLines="0" w:afterLines="0"/>
              <w:jc w:val="both"/>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站与城</w:t>
            </w:r>
            <w:r>
              <w:rPr>
                <w:rFonts w:hint="default" w:ascii="黑体" w:hAnsi="黑体" w:eastAsia="黑体" w:cs="黑体"/>
                <w:b w:val="0"/>
                <w:bCs w:val="0"/>
                <w:color w:val="000000"/>
                <w:kern w:val="2"/>
                <w:sz w:val="21"/>
                <w:szCs w:val="21"/>
                <w:lang w:val="en-US" w:eastAsia="zh-CN" w:bidi="ar-SA"/>
              </w:rPr>
              <w:t>——</w:t>
            </w:r>
            <w:r>
              <w:rPr>
                <w:rFonts w:hint="eastAsia" w:ascii="黑体" w:hAnsi="黑体" w:eastAsia="黑体" w:cs="黑体"/>
                <w:b w:val="0"/>
                <w:bCs w:val="0"/>
                <w:color w:val="000000"/>
                <w:kern w:val="2"/>
                <w:sz w:val="21"/>
                <w:szCs w:val="21"/>
                <w:lang w:val="en-US" w:eastAsia="zh-CN" w:bidi="ar-SA"/>
              </w:rPr>
              <w:t>以太原站扩建、杭州东站、 杭州西站设计为例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402" w:type="dxa"/>
            <w:vAlign w:val="center"/>
          </w:tcPr>
          <w:p>
            <w:pPr>
              <w:pStyle w:val="17"/>
              <w:spacing w:beforeLines="0" w:afterLines="0"/>
              <w:jc w:val="center"/>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11:40-12:05</w:t>
            </w:r>
          </w:p>
        </w:tc>
        <w:tc>
          <w:tcPr>
            <w:tcW w:w="1212" w:type="dxa"/>
            <w:vAlign w:val="center"/>
          </w:tcPr>
          <w:p>
            <w:pPr>
              <w:pStyle w:val="17"/>
              <w:spacing w:beforeLines="0" w:afterLines="0"/>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沈中伟</w:t>
            </w:r>
          </w:p>
        </w:tc>
        <w:tc>
          <w:tcPr>
            <w:tcW w:w="4332" w:type="dxa"/>
            <w:vAlign w:val="center"/>
          </w:tcPr>
          <w:p>
            <w:pPr>
              <w:pStyle w:val="17"/>
              <w:spacing w:beforeLines="0" w:afterLines="0"/>
              <w:jc w:val="both"/>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西南交通大学建筑与设计学院党委书记、教授</w:t>
            </w:r>
          </w:p>
        </w:tc>
        <w:tc>
          <w:tcPr>
            <w:tcW w:w="3820" w:type="dxa"/>
            <w:vAlign w:val="center"/>
          </w:tcPr>
          <w:p>
            <w:pPr>
              <w:pStyle w:val="17"/>
              <w:spacing w:beforeLines="0" w:afterLines="0"/>
              <w:jc w:val="both"/>
              <w:rPr>
                <w:rFonts w:hint="eastAsia" w:ascii="黑体" w:hAnsi="黑体" w:eastAsia="黑体" w:cs="黑体"/>
                <w:b w:val="0"/>
                <w:bCs w:val="0"/>
                <w:color w:val="000000"/>
                <w:kern w:val="2"/>
                <w:sz w:val="21"/>
                <w:szCs w:val="21"/>
                <w:lang w:val="en-US" w:eastAsia="zh-CN" w:bidi="ar-SA"/>
              </w:rPr>
            </w:pPr>
            <w:r>
              <w:rPr>
                <w:rFonts w:hint="eastAsia" w:ascii="黑体" w:hAnsi="黑体" w:eastAsia="黑体" w:cs="黑体"/>
                <w:b w:val="0"/>
                <w:bCs w:val="0"/>
                <w:color w:val="000000"/>
                <w:kern w:val="2"/>
                <w:sz w:val="21"/>
                <w:szCs w:val="21"/>
                <w:lang w:val="en-US" w:eastAsia="zh-CN" w:bidi="ar-SA"/>
              </w:rPr>
              <w:t>共享候乘的现代轨道综合体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2" w:type="dxa"/>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12:00-13:30</w:t>
            </w:r>
          </w:p>
        </w:tc>
        <w:tc>
          <w:tcPr>
            <w:tcW w:w="9364" w:type="dxa"/>
            <w:gridSpan w:val="3"/>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午休</w:t>
            </w:r>
          </w:p>
        </w:tc>
      </w:tr>
    </w:tbl>
    <w:p/>
    <w:tbl>
      <w:tblPr>
        <w:tblStyle w:val="10"/>
        <w:tblW w:w="10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212"/>
        <w:gridCol w:w="4337"/>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56" w:type="dxa"/>
            <w:gridSpan w:val="4"/>
            <w:shd w:val="clear" w:color="auto" w:fill="D7D7D7" w:themeFill="background1" w:themeFillShade="D8"/>
            <w:vAlign w:val="center"/>
          </w:tcPr>
          <w:p>
            <w:pPr>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上半场报告（主持人：</w:t>
            </w:r>
            <w:r>
              <w:rPr>
                <w:rFonts w:hint="eastAsia" w:ascii="黑体" w:hAnsi="黑体" w:eastAsia="黑体" w:cs="黑体"/>
                <w:b/>
                <w:bCs/>
                <w:color w:val="auto"/>
                <w:kern w:val="0"/>
                <w:sz w:val="21"/>
                <w:szCs w:val="21"/>
                <w:lang w:val="en-US" w:eastAsia="zh-CN" w:bidi="ar-SA"/>
              </w:rPr>
              <w:t>任炳文</w:t>
            </w:r>
            <w:r>
              <w:rPr>
                <w:rFonts w:hint="eastAsia" w:ascii="黑体" w:hAnsi="黑体" w:eastAsia="黑体" w:cs="黑体"/>
                <w:b w:val="0"/>
                <w:bCs w:val="0"/>
                <w:color w:val="auto"/>
                <w:kern w:val="0"/>
                <w:sz w:val="21"/>
                <w:szCs w:val="21"/>
                <w:lang w:val="en-US" w:eastAsia="zh-CN" w:bidi="ar-SA"/>
              </w:rPr>
              <w:t xml:space="preserve"> 中国建筑东北设计研究院有限公司副总经理、总建筑师）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13:30-13:55</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姜兴兴</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法国AREP设计集团中国公司总经理</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新一代铁路交通枢纽城市一体化设计实践及探索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13:55-14:20</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王  腾</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西南交通大学（上海）TOD 研究中心副主任， 拓道建筑规划设计（上海）有限公司总经理</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大陆TOD 发展模式实施推进探索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14:20-14:45</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陈敏扬</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奥雅纳工程咨询（上海）有限公司副董事、</w:t>
            </w:r>
          </w:p>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规划总监</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TOD 规划工程一体化实践经验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14:45-15:10</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洪于亮</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中国建筑设计研究院有限公司交通规划研究中心主任</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见微知著</w:t>
            </w:r>
            <w:r>
              <w:rPr>
                <w:rFonts w:hint="default" w:ascii="黑体" w:hAnsi="黑体" w:eastAsia="黑体" w:cs="黑体"/>
                <w:b w:val="0"/>
                <w:bCs w:val="0"/>
                <w:color w:val="auto"/>
                <w:kern w:val="0"/>
                <w:sz w:val="21"/>
                <w:szCs w:val="21"/>
                <w:lang w:val="en-US" w:eastAsia="zh-CN" w:bidi="ar-SA"/>
              </w:rPr>
              <w:t>——</w:t>
            </w:r>
            <w:r>
              <w:rPr>
                <w:rFonts w:hint="eastAsia" w:ascii="黑体" w:hAnsi="黑体" w:eastAsia="黑体" w:cs="黑体"/>
                <w:b w:val="0"/>
                <w:bCs w:val="0"/>
                <w:color w:val="auto"/>
                <w:kern w:val="0"/>
                <w:sz w:val="21"/>
                <w:szCs w:val="21"/>
                <w:lang w:val="en-US" w:eastAsia="zh-CN" w:bidi="ar-SA"/>
              </w:rPr>
              <w:t>交通微观仿真技术在大型复杂公建中的应用与实践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15:10-15:30</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郭成林</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中国建筑学会主动式建筑学术委员会副理事长、威卢克斯（中国）有限公司设计总监</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机场航站楼的防渗漏自然采光自然通风和自然排烟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15:30-15:40</w:t>
            </w:r>
          </w:p>
        </w:tc>
        <w:tc>
          <w:tcPr>
            <w:tcW w:w="9359" w:type="dxa"/>
            <w:gridSpan w:val="3"/>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56" w:type="dxa"/>
            <w:gridSpan w:val="4"/>
            <w:shd w:val="clear" w:color="auto" w:fill="D7D7D7" w:themeFill="background1" w:themeFillShade="D8"/>
            <w:vAlign w:val="center"/>
          </w:tcPr>
          <w:p>
            <w:pPr>
              <w:keepNext w:val="0"/>
              <w:keepLines w:val="0"/>
              <w:pageBreakBefore w:val="0"/>
              <w:kinsoku/>
              <w:overflowPunct/>
              <w:topLinePunct w:val="0"/>
              <w:autoSpaceDE/>
              <w:autoSpaceDN/>
              <w:bidi w:val="0"/>
              <w:snapToGrid/>
              <w:spacing w:line="240" w:lineRule="auto"/>
              <w:jc w:val="center"/>
              <w:textAlignment w:val="auto"/>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下半场报告（主持人：</w:t>
            </w:r>
            <w:r>
              <w:rPr>
                <w:rFonts w:hint="eastAsia" w:ascii="黑体" w:hAnsi="黑体" w:eastAsia="黑体" w:cs="黑体"/>
                <w:b/>
                <w:bCs/>
                <w:color w:val="auto"/>
                <w:kern w:val="0"/>
                <w:sz w:val="21"/>
                <w:szCs w:val="21"/>
                <w:lang w:val="en-US" w:eastAsia="zh-CN" w:bidi="ar-SA"/>
              </w:rPr>
              <w:t>潘 勇</w:t>
            </w:r>
            <w:r>
              <w:rPr>
                <w:rFonts w:hint="eastAsia" w:ascii="黑体" w:hAnsi="黑体" w:eastAsia="黑体" w:cs="黑体"/>
                <w:b w:val="0"/>
                <w:bCs w:val="0"/>
                <w:color w:val="auto"/>
                <w:kern w:val="0"/>
                <w:sz w:val="21"/>
                <w:szCs w:val="21"/>
                <w:lang w:val="en-US" w:eastAsia="zh-CN" w:bidi="ar-SA"/>
              </w:rPr>
              <w:t xml:space="preserve"> 广东省建筑设计研究院副总建筑师，机场院·ADG 建筑创作工作室总建筑师）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15:40-16:05</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朱业佳</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Benoy贝诺高级副总监</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机场空间营造的新思路设计</w:t>
            </w:r>
            <w:r>
              <w:rPr>
                <w:rFonts w:hint="default" w:ascii="黑体" w:hAnsi="黑体" w:eastAsia="黑体" w:cs="黑体"/>
                <w:b w:val="0"/>
                <w:bCs w:val="0"/>
                <w:color w:val="auto"/>
                <w:kern w:val="0"/>
                <w:sz w:val="21"/>
                <w:szCs w:val="21"/>
                <w:lang w:val="en-US" w:eastAsia="zh-CN" w:bidi="ar-SA"/>
              </w:rPr>
              <w:t>——</w:t>
            </w:r>
            <w:r>
              <w:rPr>
                <w:rFonts w:hint="eastAsia" w:ascii="黑体" w:hAnsi="黑体" w:eastAsia="黑体" w:cs="黑体"/>
                <w:b w:val="0"/>
                <w:bCs w:val="0"/>
                <w:color w:val="auto"/>
                <w:kern w:val="0"/>
                <w:sz w:val="21"/>
                <w:szCs w:val="21"/>
                <w:lang w:val="en-US" w:eastAsia="zh-CN" w:bidi="ar-SA"/>
              </w:rPr>
              <w:t>以新加坡樟宜机场T4 航站楼为例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16:05-16:30</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马骕骦</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株式会社日建设计建筑师</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车站核：让阳光照进交通之路</w:t>
            </w:r>
            <w:r>
              <w:rPr>
                <w:rFonts w:hint="default" w:ascii="黑体" w:hAnsi="黑体" w:eastAsia="黑体" w:cs="黑体"/>
                <w:b w:val="0"/>
                <w:bCs w:val="0"/>
                <w:color w:val="auto"/>
                <w:kern w:val="0"/>
                <w:sz w:val="21"/>
                <w:szCs w:val="21"/>
                <w:lang w:val="en-US" w:eastAsia="zh-CN" w:bidi="ar-SA"/>
              </w:rPr>
              <w:t>——</w:t>
            </w:r>
            <w:r>
              <w:rPr>
                <w:rFonts w:hint="eastAsia" w:ascii="黑体" w:hAnsi="黑体" w:eastAsia="黑体" w:cs="黑体"/>
                <w:b w:val="0"/>
                <w:bCs w:val="0"/>
                <w:color w:val="auto"/>
                <w:kern w:val="0"/>
                <w:sz w:val="21"/>
                <w:szCs w:val="21"/>
                <w:lang w:val="en-US" w:eastAsia="zh-CN" w:bidi="ar-SA"/>
              </w:rPr>
              <w:t>以广州凯达尔枢纽国际广场和重庆沙坪坝龙湖光年为例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16:30-17:05</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Haruo</w:t>
            </w:r>
          </w:p>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Kawasaki</w:t>
            </w:r>
          </w:p>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川崎晴郎</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欧博迈亚中国区设计总监</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地下空间开发与TOD 的实践经验</w:t>
            </w:r>
          </w:p>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default" w:ascii="黑体" w:hAnsi="黑体" w:eastAsia="黑体" w:cs="黑体"/>
                <w:b w:val="0"/>
                <w:bCs w:val="0"/>
                <w:color w:val="auto"/>
                <w:kern w:val="0"/>
                <w:sz w:val="21"/>
                <w:szCs w:val="21"/>
                <w:lang w:val="en-US" w:eastAsia="zh-CN" w:bidi="ar-SA"/>
              </w:rPr>
              <w:t>——</w:t>
            </w:r>
            <w:r>
              <w:rPr>
                <w:rFonts w:hint="eastAsia" w:ascii="黑体" w:hAnsi="黑体" w:eastAsia="黑体" w:cs="黑体"/>
                <w:b w:val="0"/>
                <w:bCs w:val="0"/>
                <w:color w:val="auto"/>
                <w:kern w:val="0"/>
                <w:sz w:val="21"/>
                <w:szCs w:val="21"/>
                <w:lang w:val="en-US" w:eastAsia="zh-CN" w:bidi="ar-SA"/>
              </w:rPr>
              <w:t>以广州珠江新城地下空间开发为例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17:05-17:30</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黄敏恩</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广东省建筑设计研究院TOD 中心首席顾问</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TOD 视野下的站城协同立体都市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pStyle w:val="17"/>
              <w:spacing w:beforeLines="0" w:afterLine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17:30-18:05</w:t>
            </w:r>
          </w:p>
        </w:tc>
        <w:tc>
          <w:tcPr>
            <w:tcW w:w="1212" w:type="dxa"/>
            <w:vAlign w:val="center"/>
          </w:tcPr>
          <w:p>
            <w:pPr>
              <w:pStyle w:val="17"/>
              <w:spacing w:beforeLines="0" w:afterLines="0"/>
              <w:jc w:val="center"/>
              <w:rPr>
                <w:rFonts w:hint="eastAsia" w:ascii="黑体" w:hAnsi="黑体" w:eastAsia="黑体" w:cs="黑体"/>
                <w:b/>
                <w:bCs/>
                <w:color w:val="auto"/>
                <w:kern w:val="0"/>
                <w:sz w:val="21"/>
                <w:szCs w:val="21"/>
                <w:lang w:val="en-US" w:eastAsia="zh-CN" w:bidi="ar-SA"/>
              </w:rPr>
            </w:pPr>
            <w:r>
              <w:rPr>
                <w:rFonts w:hint="eastAsia" w:ascii="黑体" w:hAnsi="黑体" w:eastAsia="黑体" w:cs="黑体"/>
                <w:b/>
                <w:bCs/>
                <w:color w:val="auto"/>
                <w:kern w:val="0"/>
                <w:sz w:val="21"/>
                <w:szCs w:val="21"/>
                <w:lang w:val="en-US" w:eastAsia="zh-CN" w:bidi="ar-SA"/>
              </w:rPr>
              <w:t>Jason Hutchings</w:t>
            </w:r>
          </w:p>
        </w:tc>
        <w:tc>
          <w:tcPr>
            <w:tcW w:w="4337"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英国阿特金斯ATKINS 高级设计总监</w:t>
            </w:r>
          </w:p>
        </w:tc>
        <w:tc>
          <w:tcPr>
            <w:tcW w:w="3810" w:type="dxa"/>
            <w:vAlign w:val="center"/>
          </w:tcPr>
          <w:p>
            <w:pPr>
              <w:pStyle w:val="19"/>
              <w:spacing w:beforeLines="0" w:afterLines="0"/>
              <w:jc w:val="both"/>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打造可持续发展TOD，构建面向未来的城市</w:t>
            </w:r>
            <w:r>
              <w:rPr>
                <w:rFonts w:hint="default" w:ascii="黑体" w:hAnsi="黑体" w:eastAsia="黑体" w:cs="黑体"/>
                <w:b w:val="0"/>
                <w:bCs w:val="0"/>
                <w:color w:val="auto"/>
                <w:kern w:val="0"/>
                <w:sz w:val="21"/>
                <w:szCs w:val="21"/>
                <w:lang w:val="en-US" w:eastAsia="zh-CN" w:bidi="ar-SA"/>
              </w:rPr>
              <w:t>——</w:t>
            </w:r>
            <w:r>
              <w:rPr>
                <w:rFonts w:hint="eastAsia" w:ascii="黑体" w:hAnsi="黑体" w:eastAsia="黑体" w:cs="黑体"/>
                <w:b w:val="0"/>
                <w:bCs w:val="0"/>
                <w:color w:val="auto"/>
                <w:kern w:val="0"/>
                <w:sz w:val="21"/>
                <w:szCs w:val="21"/>
                <w:lang w:val="en-US" w:eastAsia="zh-CN" w:bidi="ar-SA"/>
              </w:rPr>
              <w:t>以英国伯明翰New Street 站改造为例</w:t>
            </w:r>
          </w:p>
        </w:tc>
      </w:tr>
    </w:tbl>
    <w:p>
      <w:pPr>
        <w:jc w:val="both"/>
        <w:rPr>
          <w:rFonts w:ascii="黑体" w:hAnsi="黑体" w:eastAsia="黑体" w:cs="黑体"/>
          <w:b/>
        </w:rPr>
      </w:pPr>
    </w:p>
    <w:p>
      <w:pPr>
        <w:jc w:val="both"/>
        <w:rPr>
          <w:rFonts w:ascii="黑体" w:hAnsi="黑体" w:eastAsia="黑体" w:cs="黑体"/>
          <w:b/>
          <w:color w:val="0070C0"/>
        </w:rPr>
      </w:pPr>
      <w:r>
        <w:rPr>
          <w:rFonts w:hint="eastAsia" w:ascii="黑体" w:hAnsi="黑体" w:eastAsia="黑体" w:cs="黑体"/>
          <w:b/>
          <w:color w:val="0070C0"/>
        </w:rPr>
        <w:t>演讲嘉宾简介</w:t>
      </w:r>
    </w:p>
    <w:p>
      <w:pPr>
        <w:jc w:val="both"/>
        <w:rPr>
          <w:rFonts w:ascii="黑体" w:hAnsi="黑体" w:eastAsia="黑体" w:cs="黑体"/>
          <w:b/>
        </w:rPr>
      </w:pPr>
      <w:r>
        <w:rPr>
          <w:rFonts w:hint="eastAsia" w:ascii="黑体" w:hAnsi="黑体" w:eastAsia="黑体" w:cs="黑体"/>
          <w:b/>
        </w:rPr>
        <w:t>陈  雄</w:t>
      </w:r>
    </w:p>
    <w:p>
      <w:pPr>
        <w:ind w:firstLine="420"/>
        <w:jc w:val="both"/>
        <w:rPr>
          <w:rFonts w:ascii="黑体" w:hAnsi="黑体" w:eastAsia="黑体" w:cs="黑体"/>
        </w:rPr>
      </w:pPr>
      <w:r>
        <w:rPr>
          <w:rFonts w:hint="eastAsia" w:ascii="黑体" w:hAnsi="黑体" w:eastAsia="黑体" w:cs="黑体"/>
        </w:rPr>
        <w:t>广东省建筑设计研究院副院长、总建筑师，全国工程勘察设计大师，教授级高级工程师。主持和参与了多项大型工程项目的设计，尤其在大型复杂公共建筑如机场航站楼、体育场馆设计方面实践丰富，多次在国际和国内竞赛原创中标。代表作品：白云国际机场T1和T2航站楼、广州亚运馆（广州亚运城综合体育馆）、深圳机场卫星厅、潮汕机场航站楼、湛江机场航站楼、广州花都东风体育馆、惠州市金山湖游泳跳水馆、肇庆新区体育中心等。</w:t>
      </w:r>
    </w:p>
    <w:p>
      <w:pPr>
        <w:ind w:firstLine="420" w:firstLineChars="200"/>
        <w:jc w:val="both"/>
        <w:rPr>
          <w:rFonts w:ascii="黑体" w:hAnsi="黑体" w:eastAsia="黑体" w:cs="黑体"/>
        </w:rPr>
      </w:pPr>
    </w:p>
    <w:p>
      <w:pPr>
        <w:jc w:val="both"/>
        <w:rPr>
          <w:rFonts w:ascii="黑体" w:hAnsi="黑体" w:eastAsia="黑体" w:cs="黑体"/>
          <w:b/>
        </w:rPr>
      </w:pPr>
      <w:r>
        <w:rPr>
          <w:rFonts w:hint="eastAsia" w:ascii="黑体" w:hAnsi="黑体" w:eastAsia="黑体" w:cs="黑体"/>
          <w:b/>
        </w:rPr>
        <w:t>郭建祥</w:t>
      </w:r>
    </w:p>
    <w:p>
      <w:pPr>
        <w:ind w:firstLine="420" w:firstLineChars="200"/>
        <w:jc w:val="both"/>
        <w:rPr>
          <w:rFonts w:ascii="黑体" w:hAnsi="黑体" w:eastAsia="黑体" w:cs="黑体"/>
          <w:b/>
        </w:rPr>
      </w:pPr>
      <w:r>
        <w:rPr>
          <w:rFonts w:hint="eastAsia" w:ascii="黑体" w:hAnsi="黑体" w:eastAsia="黑体" w:cs="黑体"/>
        </w:rPr>
        <w:t>华建集团华东建筑设计研究总院副院长、总建筑师。代表作品：浦东机场T2 航站楼、虹桥综合交通枢纽、龙阳路磁悬浮车站、南京禄口国际机场二期工程、虹桥机场T1 航站楼改造项目、港珠澳大桥珠海通关口岸、浦东国际机场卫星楼、乌鲁木齐国际机场改扩建工程等</w:t>
      </w:r>
    </w:p>
    <w:p>
      <w:pPr>
        <w:ind w:firstLine="1265" w:firstLineChars="600"/>
        <w:jc w:val="both"/>
        <w:rPr>
          <w:rFonts w:ascii="黑体" w:hAnsi="黑体" w:eastAsia="黑体" w:cs="黑体"/>
          <w:b/>
        </w:rPr>
      </w:pPr>
    </w:p>
    <w:p>
      <w:pPr>
        <w:jc w:val="both"/>
        <w:rPr>
          <w:rFonts w:ascii="黑体" w:hAnsi="黑体" w:eastAsia="黑体" w:cs="黑体"/>
        </w:rPr>
      </w:pPr>
      <w:r>
        <w:rPr>
          <w:rFonts w:hint="eastAsia" w:ascii="黑体" w:hAnsi="黑体" w:eastAsia="黑体" w:cs="黑体"/>
          <w:b/>
        </w:rPr>
        <w:t>吴  蔚</w:t>
      </w:r>
    </w:p>
    <w:p>
      <w:pPr>
        <w:ind w:firstLine="420" w:firstLineChars="200"/>
        <w:jc w:val="both"/>
        <w:rPr>
          <w:rFonts w:ascii="黑体" w:hAnsi="黑体" w:eastAsia="黑体" w:cs="黑体"/>
          <w:b/>
        </w:rPr>
      </w:pPr>
      <w:r>
        <w:rPr>
          <w:rFonts w:hint="eastAsia" w:ascii="黑体" w:hAnsi="黑体" w:eastAsia="黑体" w:cs="黑体"/>
        </w:rPr>
        <w:t>德国gmp 建筑师事务所中国区合伙人、首席代表，瑞士苏黎世联邦高等理工学院Diplom 建筑师，瑞士工程师建筑师协会会员。德国gmp 建筑师事务所成立于1965 年，是德国最大的事务所，设计建成了430 多个项目，包括机场、车站、会展、体育场、剧院、博物馆、总部办公、产业园区、超高层等各类项目。主要作品：柏林泰戈尔机场、柏林中央火车站、汉诺威会展中心8/9 号厅、中国国家博物馆改扩建、深圳宝安体育场、青岛大剧院、深圳会展中心、天津西站等。目前正在设计深圳前海地下综合交通枢纽及上盖物业、杭州南站、北京丰台站等。</w:t>
      </w:r>
    </w:p>
    <w:p>
      <w:pPr>
        <w:ind w:firstLine="420" w:firstLineChars="200"/>
        <w:jc w:val="both"/>
        <w:rPr>
          <w:rFonts w:ascii="黑体" w:hAnsi="黑体" w:eastAsia="黑体" w:cs="黑体"/>
        </w:rPr>
      </w:pPr>
    </w:p>
    <w:p>
      <w:pPr>
        <w:jc w:val="both"/>
        <w:rPr>
          <w:rFonts w:ascii="黑体" w:hAnsi="黑体" w:eastAsia="黑体" w:cs="黑体"/>
          <w:b/>
        </w:rPr>
      </w:pPr>
      <w:r>
        <w:rPr>
          <w:rFonts w:hint="eastAsia" w:ascii="黑体" w:hAnsi="黑体" w:eastAsia="黑体" w:cs="黑体"/>
          <w:b/>
        </w:rPr>
        <w:t>盛  晖</w:t>
      </w:r>
    </w:p>
    <w:p>
      <w:pPr>
        <w:ind w:firstLine="420"/>
        <w:jc w:val="both"/>
        <w:rPr>
          <w:rFonts w:ascii="黑体" w:hAnsi="黑体" w:eastAsia="黑体" w:cs="黑体"/>
          <w:b/>
        </w:rPr>
      </w:pPr>
      <w:r>
        <w:rPr>
          <w:rFonts w:hint="eastAsia" w:ascii="黑体" w:hAnsi="黑体" w:eastAsia="黑体" w:cs="黑体"/>
        </w:rPr>
        <w:t>中铁第四勘察设计院集团有限公司副总建筑师、教授级高级工程师、国家一级注册建筑师。长期从事铁路客站设计和综合交通枢纽站城一体规划研究，主持和参与了我国大量重要的铁路客站设计。代表作品：武汉站、广州南站、南京南站、苏州站、武昌站、深圳北站、昆明南站等。主持的科研项目“桥建合一功能可视化立体疏解铁路车站设计建造技术”荣获2014 年国家科技进步奖二等奖。作为主要编写人参与《铁路旅客车站设计指南》编著。主编著作武广高铁设计丛书《站房工程》。</w:t>
      </w:r>
    </w:p>
    <w:p>
      <w:pPr>
        <w:ind w:firstLine="420" w:firstLineChars="200"/>
        <w:jc w:val="both"/>
        <w:rPr>
          <w:rFonts w:ascii="黑体" w:hAnsi="黑体" w:eastAsia="黑体" w:cs="黑体"/>
        </w:rPr>
      </w:pPr>
    </w:p>
    <w:p>
      <w:pPr>
        <w:jc w:val="both"/>
        <w:rPr>
          <w:rFonts w:ascii="黑体" w:hAnsi="黑体" w:eastAsia="黑体" w:cs="黑体"/>
          <w:b/>
        </w:rPr>
      </w:pPr>
      <w:r>
        <w:rPr>
          <w:rFonts w:hint="eastAsia" w:ascii="黑体" w:hAnsi="黑体" w:eastAsia="黑体" w:cs="黑体"/>
          <w:b/>
        </w:rPr>
        <w:t>李春舫</w:t>
      </w:r>
    </w:p>
    <w:p>
      <w:pPr>
        <w:ind w:firstLine="420" w:firstLineChars="200"/>
        <w:jc w:val="both"/>
        <w:rPr>
          <w:rFonts w:ascii="黑体" w:hAnsi="黑体" w:eastAsia="黑体" w:cs="黑体"/>
        </w:rPr>
      </w:pPr>
      <w:r>
        <w:rPr>
          <w:rFonts w:hint="eastAsia" w:ascii="黑体" w:hAnsi="黑体" w:eastAsia="黑体" w:cs="黑体"/>
        </w:rPr>
        <w:t>中南建筑设计院股份有限公司总建筑师，享受国务院政府特殊津贴专家。长期致力于交通建筑、文化建筑和展览展示建筑等方面的设计实践及研究，主张“传统与现代相结合、理性与浪漫相融合、形式与功能相和谐”的设计观。代表作品：太原南站、杭州东站、郑州东站、长沙南站、无锡博物院、武汉国际会展中心、中国动漫博物馆等。</w:t>
      </w:r>
    </w:p>
    <w:p>
      <w:pPr>
        <w:jc w:val="both"/>
        <w:rPr>
          <w:rFonts w:hint="eastAsia" w:ascii="黑体" w:hAnsi="黑体" w:eastAsia="黑体" w:cs="黑体"/>
          <w:b/>
          <w:szCs w:val="21"/>
        </w:rPr>
      </w:pPr>
    </w:p>
    <w:p>
      <w:pPr>
        <w:jc w:val="both"/>
        <w:rPr>
          <w:rFonts w:ascii="黑体" w:hAnsi="黑体" w:eastAsia="黑体" w:cs="黑体"/>
          <w:b/>
          <w:szCs w:val="21"/>
        </w:rPr>
      </w:pPr>
      <w:r>
        <w:rPr>
          <w:rFonts w:hint="eastAsia" w:ascii="黑体" w:hAnsi="黑体" w:eastAsia="黑体" w:cs="黑体"/>
          <w:b/>
          <w:szCs w:val="21"/>
        </w:rPr>
        <w:t>沈中伟</w:t>
      </w:r>
    </w:p>
    <w:p>
      <w:pPr>
        <w:ind w:firstLine="420" w:firstLineChars="200"/>
        <w:jc w:val="both"/>
        <w:rPr>
          <w:rFonts w:ascii="黑体" w:hAnsi="黑体" w:eastAsia="黑体" w:cs="黑体"/>
          <w:b/>
        </w:rPr>
      </w:pPr>
      <w:r>
        <w:rPr>
          <w:rFonts w:hint="eastAsia" w:ascii="黑体" w:hAnsi="黑体" w:eastAsia="黑体" w:cs="黑体"/>
          <w:sz w:val="21"/>
          <w:szCs w:val="21"/>
        </w:rPr>
        <w:t>西南交通大学建筑与设计学院党委书记（原院长）、教授、博士生导师，中国建筑学会地下空间学术委员会理事长，享受国务院政府特殊津贴专家。研究与设计主要集中于交通建筑与地下空间规划与设计、高速铁路工程景观、城际铁路与城乡规划等领域。主持国家自然科学基金《城市交通综合体空间绩效评价研究》《城市交通综合体安全评价体系研究》《城市交通综合体地下空间绿色建筑设计方法研究》3项，及多项纵向课题及部分横向课题的研究，主持完成了丽江火车站、峨眉山交通综合枢纽等工程项目以及成都东站、成都北站等一系列项目的方案设计。</w:t>
      </w:r>
    </w:p>
    <w:p>
      <w:pPr>
        <w:jc w:val="both"/>
        <w:rPr>
          <w:rFonts w:hint="eastAsia" w:ascii="黑体" w:hAnsi="黑体" w:eastAsia="黑体" w:cs="黑体"/>
          <w:b/>
        </w:rPr>
      </w:pPr>
    </w:p>
    <w:p>
      <w:pPr>
        <w:jc w:val="both"/>
        <w:rPr>
          <w:rFonts w:ascii="黑体" w:hAnsi="黑体" w:eastAsia="黑体" w:cs="黑体"/>
        </w:rPr>
      </w:pPr>
      <w:r>
        <w:rPr>
          <w:rFonts w:hint="eastAsia" w:ascii="黑体" w:hAnsi="黑体" w:eastAsia="黑体" w:cs="黑体"/>
          <w:b/>
        </w:rPr>
        <w:t>王晓群</w:t>
      </w:r>
    </w:p>
    <w:p>
      <w:pPr>
        <w:ind w:firstLine="420" w:firstLineChars="200"/>
        <w:jc w:val="both"/>
        <w:rPr>
          <w:rFonts w:ascii="黑体" w:hAnsi="黑体" w:eastAsia="黑体" w:cs="黑体"/>
          <w:b w:val="0"/>
          <w:bCs w:val="0"/>
        </w:rPr>
      </w:pPr>
      <w:r>
        <w:rPr>
          <w:rFonts w:hint="eastAsia" w:ascii="黑体" w:hAnsi="黑体" w:eastAsia="黑体" w:cs="黑体"/>
          <w:b w:val="0"/>
          <w:bCs w:val="0"/>
        </w:rPr>
        <w:t>北京市建筑设计研究院有限公司副总建筑师，机场建筑研究中心主任。长期从事大型复杂公共建筑和机场航站楼方面的设计研究，主持和参与多项大型工程项目设计，2004 年参与首都国际机场T3 航站楼的设计工作。出版著作《昆明长水机场工程建设创新集》，作为主要编写人撰写第三版《建筑设计资料集》机场部分。代表作品：首都国际机场T3 航站楼和交通中心、昆明长水国际机场及交通中心、桂林两江机场T2航站楼、长春龙嘉机场T2 航站楼，目前负责北京新机场航站楼和交通中心及综合楼设计。</w:t>
      </w:r>
    </w:p>
    <w:p>
      <w:pPr>
        <w:jc w:val="both"/>
        <w:rPr>
          <w:rFonts w:hint="eastAsia" w:ascii="黑体" w:hAnsi="黑体" w:eastAsia="黑体" w:cs="黑体"/>
          <w:b/>
        </w:rPr>
      </w:pPr>
    </w:p>
    <w:p>
      <w:pPr>
        <w:jc w:val="both"/>
        <w:rPr>
          <w:rFonts w:ascii="黑体" w:hAnsi="黑体" w:eastAsia="黑体" w:cs="黑体"/>
          <w:b/>
        </w:rPr>
      </w:pPr>
      <w:r>
        <w:rPr>
          <w:rFonts w:hint="eastAsia" w:ascii="黑体" w:hAnsi="黑体" w:eastAsia="黑体" w:cs="黑体"/>
          <w:b/>
        </w:rPr>
        <w:t>姜兴兴</w:t>
      </w:r>
    </w:p>
    <w:p>
      <w:pPr>
        <w:ind w:firstLine="420" w:firstLineChars="200"/>
        <w:jc w:val="both"/>
        <w:rPr>
          <w:rFonts w:ascii="黑体" w:hAnsi="黑体" w:eastAsia="黑体" w:cs="黑体"/>
        </w:rPr>
      </w:pPr>
      <w:r>
        <w:rPr>
          <w:rFonts w:hint="eastAsia" w:ascii="黑体" w:hAnsi="黑体" w:eastAsia="黑体" w:cs="黑体"/>
        </w:rPr>
        <w:t>法国AREP 设计集团中国公司总经理。长期研究复杂交通空间组织，特别是大型综合交通枢纽的空间关系组织处理、项目功能策划及管理和项目经济整体平衡处理。代表作品：2022 年北京冬奥会京张铁路清河站，北京城市副中心综合交通枢纽整体设计，北京至雄安新区城际铁路雄安站，北京环球影城综合交通枢纽、上海金桥车辆段上盖物业综合开发，杭州七堡地铁上盖物业综合开发，武汉长江新城起步区城市设计，成都锦城广场 P+R 停车场及地下空间综合开发项目，成都西部博览城交通枢纽，深圳前海湾车辆段上盖物业综合开发。</w:t>
      </w:r>
    </w:p>
    <w:p>
      <w:pPr>
        <w:jc w:val="both"/>
        <w:rPr>
          <w:rFonts w:hint="eastAsia" w:ascii="黑体" w:hAnsi="黑体" w:eastAsia="黑体" w:cs="黑体"/>
          <w:b/>
        </w:rPr>
      </w:pPr>
    </w:p>
    <w:p>
      <w:pPr>
        <w:jc w:val="both"/>
        <w:rPr>
          <w:rFonts w:hint="eastAsia" w:ascii="黑体" w:hAnsi="黑体" w:eastAsia="黑体" w:cs="黑体"/>
          <w:b/>
        </w:rPr>
      </w:pPr>
      <w:r>
        <w:rPr>
          <w:rFonts w:hint="eastAsia" w:ascii="黑体" w:hAnsi="黑体" w:eastAsia="黑体" w:cs="黑体"/>
          <w:b/>
        </w:rPr>
        <w:t xml:space="preserve">王 </w:t>
      </w:r>
      <w:r>
        <w:rPr>
          <w:rFonts w:hint="eastAsia" w:ascii="黑体" w:hAnsi="黑体" w:eastAsia="黑体" w:cs="黑体"/>
          <w:b/>
          <w:lang w:val="en-US" w:eastAsia="zh-CN"/>
        </w:rPr>
        <w:t xml:space="preserve"> </w:t>
      </w:r>
      <w:r>
        <w:rPr>
          <w:rFonts w:hint="eastAsia" w:ascii="黑体" w:hAnsi="黑体" w:eastAsia="黑体" w:cs="黑体"/>
          <w:b/>
        </w:rPr>
        <w:t>腾</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黑体" w:hAnsi="黑体" w:eastAsia="黑体" w:cs="黑体"/>
          <w:b/>
        </w:rPr>
      </w:pPr>
      <w:r>
        <w:rPr>
          <w:rFonts w:hint="eastAsia" w:ascii="黑体" w:hAnsi="黑体" w:eastAsia="黑体" w:cs="黑体"/>
          <w:b w:val="0"/>
          <w:bCs/>
        </w:rPr>
        <w:t>西南交通大学（上海）TOD 研究中心副主任，拓道建筑规划设计（上海）有限公司总经理；同济大学- 柏林工业大学联合培养博士，国家一级注册建筑师。负责、参与多个复杂的规划设计工作：呼和浩特市轨道交通项目1、2 号线全线暨重点站综合开发一体化研究、上海申通“城市更新”政策分析与应用研究、上海轨道交通18 号线航头车辆段上盖物业开发研究、河北廊涿城际及白沟支线轨道交通TOD 研究、郑州土地利用与公共交通协调发展（TOD）专项规划研究、天津滨海新区Z4 线TOD 研究、京沪高铁桥下土地保护性开发、厦门轨道交通1 号线重点站物业开发方案与财务评估等。</w:t>
      </w:r>
    </w:p>
    <w:p>
      <w:pPr>
        <w:jc w:val="both"/>
        <w:rPr>
          <w:rFonts w:hint="eastAsia" w:ascii="黑体" w:hAnsi="黑体" w:eastAsia="黑体" w:cs="黑体"/>
          <w:b/>
        </w:rPr>
      </w:pPr>
    </w:p>
    <w:p>
      <w:pPr>
        <w:jc w:val="both"/>
        <w:rPr>
          <w:rFonts w:ascii="黑体" w:hAnsi="黑体" w:eastAsia="黑体" w:cs="黑体"/>
          <w:b/>
        </w:rPr>
      </w:pPr>
      <w:r>
        <w:rPr>
          <w:rFonts w:hint="eastAsia" w:ascii="黑体" w:hAnsi="黑体" w:eastAsia="黑体" w:cs="黑体"/>
          <w:b/>
        </w:rPr>
        <w:t>陈敏扬</w:t>
      </w:r>
    </w:p>
    <w:p>
      <w:pPr>
        <w:ind w:firstLine="420" w:firstLineChars="200"/>
        <w:jc w:val="both"/>
        <w:rPr>
          <w:rFonts w:ascii="黑体" w:hAnsi="黑体" w:eastAsia="黑体" w:cs="黑体"/>
        </w:rPr>
      </w:pPr>
      <w:r>
        <w:rPr>
          <w:rFonts w:hint="eastAsia" w:ascii="黑体" w:hAnsi="黑体" w:eastAsia="黑体" w:cs="黑体"/>
          <w:bCs/>
        </w:rPr>
        <w:t>奥雅纳工程咨询（上海）有限公司副董事、规划总监。长期从事国内外TOD 规划工程一体化研究， 担任多个相关项目的主创和负责人，包括港铁MTR 委托在国内的规划与前期策划项目。代表作品：北京城市副中心城市设计、北京2022 年冬奥会张家口冰雪小镇城市设计、苏州高铁新城城市设计、广州轨道交通7 号线延线顺德区TOD 规划研究、北京大兴线南延线TOD 规划研究、佛山二/ 三号线TOD 规划研究、广佛环线TOD 规划研究等。</w:t>
      </w:r>
    </w:p>
    <w:p>
      <w:pPr>
        <w:jc w:val="both"/>
        <w:rPr>
          <w:rFonts w:hint="eastAsia" w:ascii="黑体" w:hAnsi="黑体" w:eastAsia="黑体" w:cs="黑体"/>
          <w:b/>
        </w:rPr>
      </w:pPr>
    </w:p>
    <w:p>
      <w:pPr>
        <w:jc w:val="both"/>
        <w:rPr>
          <w:rFonts w:hint="eastAsia" w:ascii="黑体" w:hAnsi="黑体" w:eastAsia="黑体" w:cs="黑体"/>
          <w:b/>
        </w:rPr>
      </w:pPr>
      <w:r>
        <w:rPr>
          <w:rFonts w:hint="eastAsia" w:ascii="黑体" w:hAnsi="黑体" w:eastAsia="黑体" w:cs="黑体"/>
          <w:b/>
        </w:rPr>
        <w:t>洪于亮</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黑体" w:hAnsi="黑体" w:eastAsia="黑体" w:cs="黑体"/>
          <w:b w:val="0"/>
          <w:bCs/>
        </w:rPr>
      </w:pPr>
      <w:r>
        <w:rPr>
          <w:rFonts w:hint="eastAsia" w:ascii="黑体" w:hAnsi="黑体" w:eastAsia="黑体" w:cs="黑体"/>
          <w:b w:val="0"/>
          <w:bCs/>
        </w:rPr>
        <w:t>中国建筑设计研究院有限公司交通规划研究中心主任。专注于大型高铁、机场、商业综合体、大型活动场馆等复杂公共建筑的交通规划研究和咨询工作，目前担任厦门新机场、北京丰台火车站、北京副中心站、北京清河站、北京星火站、2022 年冬奥会延庆高山滑雪和雪车雪橇赛区等的交通咨询项目技术负责人，对复杂公共建筑周边和内部的车流、人流交通系统构建、交通功能组织、交通配套设施设计有较深的研究。</w:t>
      </w:r>
    </w:p>
    <w:p>
      <w:pPr>
        <w:jc w:val="both"/>
        <w:rPr>
          <w:rFonts w:hint="eastAsia" w:ascii="黑体" w:hAnsi="黑体" w:eastAsia="黑体" w:cs="黑体"/>
          <w:b/>
        </w:rPr>
      </w:pPr>
    </w:p>
    <w:p>
      <w:pPr>
        <w:jc w:val="both"/>
        <w:rPr>
          <w:rFonts w:ascii="黑体" w:hAnsi="黑体" w:eastAsia="黑体" w:cs="黑体"/>
          <w:b/>
        </w:rPr>
      </w:pPr>
      <w:r>
        <w:rPr>
          <w:rFonts w:hint="eastAsia" w:ascii="黑体" w:hAnsi="黑体" w:eastAsia="黑体" w:cs="黑体"/>
          <w:b/>
        </w:rPr>
        <w:t>马骕骦</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ascii="黑体" w:hAnsi="黑体" w:eastAsia="黑体" w:cs="黑体"/>
        </w:rPr>
      </w:pPr>
      <w:r>
        <w:rPr>
          <w:rFonts w:hint="eastAsia" w:ascii="黑体" w:hAnsi="黑体" w:eastAsia="黑体" w:cs="黑体"/>
        </w:rPr>
        <w:t>株式会社日建设计建筑师。毕业于东京大学建筑学DFL 研究室，自2015 年起加入日建设计，与丁炳均主管共同参与负责中国TOD 项目的设计。代表作品：重庆龙湖沙坪坝高铁上盖龙湖光年、广州凯达尔枢纽国际广场、东京奥林匹克有明体操馆、西安万科金域华府办公楼等。</w:t>
      </w:r>
    </w:p>
    <w:p>
      <w:pPr>
        <w:jc w:val="both"/>
        <w:rPr>
          <w:rFonts w:hint="eastAsia" w:ascii="黑体" w:hAnsi="黑体" w:eastAsia="黑体" w:cs="黑体"/>
          <w:b/>
        </w:rPr>
      </w:pPr>
    </w:p>
    <w:p>
      <w:pPr>
        <w:jc w:val="both"/>
        <w:rPr>
          <w:rFonts w:hint="eastAsia" w:ascii="黑体" w:hAnsi="黑体" w:eastAsia="黑体" w:cs="黑体"/>
          <w:b/>
        </w:rPr>
      </w:pPr>
      <w:r>
        <w:rPr>
          <w:rFonts w:hint="eastAsia" w:ascii="黑体" w:hAnsi="黑体" w:eastAsia="黑体" w:cs="黑体"/>
          <w:b/>
        </w:rPr>
        <w:t>Haruo Kawasaki 川崎晴郎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黑体" w:hAnsi="黑体" w:eastAsia="黑体" w:cs="黑体"/>
          <w:b w:val="0"/>
          <w:bCs/>
        </w:rPr>
      </w:pPr>
      <w:r>
        <w:rPr>
          <w:rFonts w:hint="eastAsia" w:ascii="黑体" w:hAnsi="黑体" w:eastAsia="黑体" w:cs="黑体"/>
          <w:b w:val="0"/>
          <w:bCs/>
        </w:rPr>
        <w:t>欧博迈亚中国区设计总监，德国拜仁州建筑师协会注册建筑师。早年就读于日本Kobe 大学建筑学系，后赴德国慕尼黑工业大学攻读建筑学硕士学位；1995 年正式加入欧博迈亚，在城市规划及建筑设计领域拥有超过40 年的丰富经验。在地下空间及TOD 项目的代表作品：广州市珠江新城核心区市政交通规划、地面景观规划，福州火车南站站前东、西广场及配套项目和周边用地修建性详细规划及单体建筑方案设计，长沙高铁西城片区城市设计方案深化等已建和在建的落地项目。</w:t>
      </w:r>
    </w:p>
    <w:p>
      <w:pPr>
        <w:keepNext w:val="0"/>
        <w:keepLines w:val="0"/>
        <w:pageBreakBefore w:val="0"/>
        <w:widowControl w:val="0"/>
        <w:kinsoku/>
        <w:wordWrap/>
        <w:overflowPunct/>
        <w:topLinePunct w:val="0"/>
        <w:autoSpaceDE/>
        <w:autoSpaceDN/>
        <w:bidi w:val="0"/>
        <w:adjustRightInd/>
        <w:snapToGrid/>
        <w:ind w:firstLine="422" w:firstLineChars="200"/>
        <w:jc w:val="both"/>
        <w:textAlignment w:val="auto"/>
        <w:outlineLvl w:val="9"/>
        <w:rPr>
          <w:rFonts w:hint="eastAsia" w:ascii="黑体" w:hAnsi="黑体" w:eastAsia="黑体" w:cs="黑体"/>
          <w:b/>
        </w:rPr>
      </w:pPr>
    </w:p>
    <w:p>
      <w:pPr>
        <w:jc w:val="both"/>
        <w:rPr>
          <w:rFonts w:hint="eastAsia" w:ascii="黑体" w:hAnsi="黑体" w:eastAsia="黑体" w:cs="黑体"/>
          <w:b/>
        </w:rPr>
      </w:pPr>
    </w:p>
    <w:p>
      <w:pPr>
        <w:jc w:val="both"/>
        <w:rPr>
          <w:rFonts w:ascii="黑体" w:hAnsi="黑体" w:eastAsia="黑体" w:cs="黑体"/>
          <w:b/>
        </w:rPr>
      </w:pPr>
      <w:r>
        <w:rPr>
          <w:rFonts w:hint="eastAsia" w:ascii="黑体" w:hAnsi="黑体" w:eastAsia="黑体" w:cs="黑体"/>
          <w:b/>
        </w:rPr>
        <w:t>朱业佳</w:t>
      </w:r>
    </w:p>
    <w:p>
      <w:pPr>
        <w:ind w:firstLine="420" w:firstLineChars="200"/>
        <w:jc w:val="both"/>
        <w:rPr>
          <w:rFonts w:ascii="黑体" w:hAnsi="黑体" w:eastAsia="黑体" w:cs="黑体"/>
        </w:rPr>
      </w:pPr>
      <w:r>
        <w:rPr>
          <w:rFonts w:hint="eastAsia" w:ascii="黑体" w:hAnsi="黑体" w:eastAsia="黑体" w:cs="黑体"/>
        </w:rPr>
        <w:t>Benoy 贝诺高级副总监。毕业于英国诺丁汉大学，英国皇家注册建筑师、城市设计师。对各种类型商业的设计（大型TOD 综合体、街区式商业、社区商业等）、总体规划以及建筑对公共领域的生态影响等有独到的见解，主张商业设计当及时应对城市发展不同阶段对空间使用的需求。代表作品：陆家嘴御桥科创园、南京中冶和记洋行改造、北京丽泽商务区首创中心、成都绿地航校商业综合体、武汉绿地光谷中心、武汉亘星国际。</w:t>
      </w:r>
    </w:p>
    <w:p>
      <w:pPr>
        <w:jc w:val="both"/>
        <w:rPr>
          <w:rFonts w:hint="eastAsia" w:ascii="黑体" w:hAnsi="黑体" w:eastAsia="黑体" w:cs="黑体"/>
          <w:b/>
        </w:rPr>
      </w:pPr>
    </w:p>
    <w:p>
      <w:pPr>
        <w:jc w:val="both"/>
        <w:rPr>
          <w:rFonts w:ascii="黑体" w:hAnsi="黑体" w:eastAsia="黑体" w:cs="黑体"/>
          <w:b/>
        </w:rPr>
      </w:pPr>
      <w:r>
        <w:rPr>
          <w:rFonts w:hint="eastAsia" w:ascii="黑体" w:hAnsi="黑体" w:eastAsia="黑体" w:cs="黑体"/>
          <w:b/>
        </w:rPr>
        <w:t>黄敏恩</w:t>
      </w:r>
    </w:p>
    <w:p>
      <w:pPr>
        <w:ind w:firstLine="420" w:firstLineChars="200"/>
        <w:jc w:val="both"/>
        <w:rPr>
          <w:rFonts w:ascii="黑体" w:hAnsi="黑体" w:eastAsia="黑体" w:cs="黑体"/>
          <w:b/>
        </w:rPr>
      </w:pPr>
      <w:r>
        <w:rPr>
          <w:rFonts w:hint="eastAsia" w:ascii="黑体" w:hAnsi="黑体" w:eastAsia="黑体" w:cs="黑体"/>
        </w:rPr>
        <w:t>广东省建筑设计研究院TOD 中心首席顾问，教授级高工，注册规划师，广州市发改委轨道综合开发首席顾问。主持了广州地铁第三期和广佛东环城际的TOD 一体化设计工作，专注城市规划20 年，致力于上位规划和建设实施的衔接，多次获得省部级奖，参编住建部《轨道沿线城市设计导则》和广州市《轨道综合开发实施细则》，是站城协同立体都市的倡导者和践行者。</w:t>
      </w:r>
    </w:p>
    <w:p>
      <w:pPr>
        <w:jc w:val="both"/>
        <w:rPr>
          <w:rFonts w:ascii="黑体" w:hAnsi="黑体" w:eastAsia="黑体" w:cs="黑体"/>
          <w:b/>
        </w:rPr>
      </w:pPr>
    </w:p>
    <w:p>
      <w:pPr>
        <w:jc w:val="both"/>
        <w:rPr>
          <w:rFonts w:hint="eastAsia" w:ascii="黑体" w:hAnsi="黑体" w:eastAsia="黑体" w:cs="黑体"/>
          <w:b/>
          <w:bCs w:val="0"/>
        </w:rPr>
      </w:pPr>
      <w:r>
        <w:rPr>
          <w:rFonts w:hint="eastAsia" w:ascii="黑体" w:hAnsi="黑体" w:eastAsia="黑体" w:cs="黑体"/>
          <w:b/>
          <w:bCs w:val="0"/>
        </w:rPr>
        <w:t>Jason Hutchings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黑体" w:hAnsi="黑体" w:eastAsia="黑体" w:cs="黑体"/>
          <w:b w:val="0"/>
          <w:bCs/>
        </w:rPr>
      </w:pPr>
      <w:r>
        <w:rPr>
          <w:rFonts w:hint="eastAsia" w:ascii="黑体" w:hAnsi="黑体" w:eastAsia="黑体" w:cs="黑体"/>
          <w:b w:val="0"/>
          <w:bCs/>
        </w:rPr>
        <w:t>英国阿特金斯ATKINS 高级设计总监，英国、香港两地注册建筑师，香港建筑师协会会员，英国皇家建筑师协会会员。在交通设施建筑设计方面拥有超过 30 年的经验，他带领团队完成了多个国家和地区的交通设施和TOD 项目。代表作品：香港地铁金钟站设计、港铁中环站及上盖香港置地约克公爵大厦和东方文华酒店、港铁多个站点设计、多哈地铁GOLD 线、马来西亚亚洲航空城、新加坡裕廊线、广州凯达尔广场、以及在新加坡及澳门完成的数个度假和博彩项目。</w:t>
      </w:r>
    </w:p>
    <w:p>
      <w:pPr>
        <w:jc w:val="both"/>
        <w:rPr>
          <w:rFonts w:ascii="黑体" w:hAnsi="黑体" w:eastAsia="黑体" w:cs="黑体"/>
          <w:b/>
        </w:rPr>
      </w:pPr>
    </w:p>
    <w:p>
      <w:pPr>
        <w:jc w:val="both"/>
        <w:rPr>
          <w:rFonts w:hint="eastAsia" w:ascii="黑体" w:hAnsi="黑体" w:eastAsia="黑体" w:cs="黑体"/>
          <w:b/>
        </w:rPr>
      </w:pPr>
      <w:r>
        <w:rPr>
          <w:rFonts w:hint="eastAsia" w:ascii="黑体" w:hAnsi="黑体" w:eastAsia="黑体" w:cs="黑体"/>
          <w:b/>
        </w:rPr>
        <w:t>郭成林</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黑体" w:hAnsi="黑体" w:eastAsia="黑体" w:cs="黑体"/>
          <w:b w:val="0"/>
          <w:bCs/>
        </w:rPr>
      </w:pPr>
      <w:r>
        <w:rPr>
          <w:rFonts w:hint="eastAsia" w:ascii="黑体" w:hAnsi="黑体" w:eastAsia="黑体" w:cs="黑体"/>
          <w:b w:val="0"/>
          <w:bCs/>
        </w:rPr>
        <w:t>中国建筑学会主动式建筑学术委员会副理事长、威卢克斯（中国）有限公司设计总监。主持起草、参编《CECS 123-2001 斜屋顶下可居住空间技术规程》、《JGJ113-2003建筑玻璃应用技术规程》等多项国家标注行业标注的工作。致力于绿色建筑、可持续建筑等相关问题的研究与推广。与国际主动式建筑联盟合作，受国际主动式建筑联盟的委托，在中国进行主动式建筑的研究推广设计和实践工作。</w:t>
      </w:r>
    </w:p>
    <w:p>
      <w:pPr>
        <w:jc w:val="both"/>
        <w:rPr>
          <w:rFonts w:ascii="黑体" w:hAnsi="黑体" w:eastAsia="黑体" w:cs="黑体"/>
          <w:b/>
        </w:rPr>
      </w:pPr>
    </w:p>
    <w:p>
      <w:pPr>
        <w:jc w:val="both"/>
        <w:rPr>
          <w:rFonts w:ascii="黑体" w:hAnsi="黑体" w:eastAsia="黑体" w:cs="黑体"/>
          <w:b/>
        </w:rPr>
      </w:pPr>
      <w:r>
        <w:rPr>
          <w:rFonts w:hint="eastAsia" w:ascii="黑体" w:hAnsi="黑体" w:eastAsia="黑体" w:cs="黑体"/>
          <w:b/>
        </w:rPr>
        <w:t>三、会议招商</w:t>
      </w:r>
    </w:p>
    <w:p>
      <w:pPr>
        <w:jc w:val="both"/>
        <w:rPr>
          <w:rFonts w:ascii="黑体" w:hAnsi="黑体" w:eastAsia="黑体" w:cs="黑体"/>
        </w:rPr>
      </w:pPr>
      <w:r>
        <w:rPr>
          <w:rFonts w:hint="eastAsia" w:ascii="黑体" w:hAnsi="黑体" w:eastAsia="黑体" w:cs="黑体"/>
        </w:rPr>
        <w:t>本次会议提供会议协办、展位等宣传形式，欢迎业内优秀企业积极参与，具体可来电垂询：18701529806。</w:t>
      </w:r>
    </w:p>
    <w:p>
      <w:pPr>
        <w:jc w:val="both"/>
        <w:rPr>
          <w:rFonts w:ascii="黑体" w:hAnsi="黑体" w:eastAsia="黑体" w:cs="黑体"/>
        </w:rPr>
      </w:pPr>
    </w:p>
    <w:p>
      <w:pPr>
        <w:jc w:val="both"/>
        <w:rPr>
          <w:rFonts w:ascii="黑体" w:hAnsi="黑体" w:eastAsia="黑体" w:cs="黑体"/>
          <w:b/>
          <w:bCs/>
        </w:rPr>
      </w:pPr>
      <w:r>
        <w:rPr>
          <w:rFonts w:hint="eastAsia" w:ascii="黑体" w:hAnsi="黑体" w:eastAsia="黑体" w:cs="黑体"/>
          <w:b/>
          <w:bCs/>
        </w:rPr>
        <w:t>四、参会费用与报名方式</w:t>
      </w:r>
    </w:p>
    <w:p>
      <w:pPr>
        <w:pStyle w:val="6"/>
        <w:shd w:val="clear" w:color="auto" w:fill="FFFFFF"/>
        <w:spacing w:before="0" w:beforeAutospacing="0" w:after="0" w:afterAutospacing="0" w:line="224" w:lineRule="atLeast"/>
        <w:jc w:val="both"/>
        <w:rPr>
          <w:rFonts w:ascii="黑体" w:hAnsi="黑体" w:eastAsia="黑体" w:cs="黑体"/>
          <w:kern w:val="2"/>
          <w:sz w:val="21"/>
          <w:szCs w:val="22"/>
        </w:rPr>
      </w:pPr>
      <w:r>
        <w:rPr>
          <w:rFonts w:hint="eastAsia" w:ascii="黑体" w:hAnsi="黑体" w:eastAsia="黑体" w:cs="黑体"/>
          <w:b/>
          <w:bCs/>
          <w:kern w:val="2"/>
          <w:sz w:val="21"/>
          <w:szCs w:val="22"/>
        </w:rPr>
        <w:t>费用：</w:t>
      </w:r>
      <w:r>
        <w:rPr>
          <w:rFonts w:hint="eastAsia" w:ascii="黑体" w:hAnsi="黑体" w:eastAsia="黑体" w:cs="黑体"/>
          <w:kern w:val="2"/>
          <w:sz w:val="21"/>
          <w:szCs w:val="22"/>
        </w:rPr>
        <w:t>代表缴纳</w:t>
      </w:r>
      <w:r>
        <w:rPr>
          <w:rFonts w:hint="eastAsia" w:ascii="黑体" w:hAnsi="黑体" w:eastAsia="黑体" w:cs="黑体"/>
          <w:b/>
          <w:bCs/>
          <w:kern w:val="2"/>
          <w:sz w:val="21"/>
          <w:szCs w:val="22"/>
          <w:u w:val="single"/>
        </w:rPr>
        <w:t>1200元</w:t>
      </w:r>
      <w:r>
        <w:rPr>
          <w:rFonts w:hint="eastAsia" w:ascii="黑体" w:hAnsi="黑体" w:eastAsia="黑体" w:cs="黑体"/>
          <w:b/>
          <w:bCs/>
          <w:kern w:val="2"/>
          <w:sz w:val="21"/>
          <w:szCs w:val="22"/>
        </w:rPr>
        <w:t>会议费</w:t>
      </w:r>
      <w:r>
        <w:rPr>
          <w:rFonts w:hint="eastAsia" w:ascii="黑体" w:hAnsi="黑体" w:eastAsia="黑体" w:cs="黑体"/>
          <w:kern w:val="2"/>
          <w:sz w:val="21"/>
          <w:szCs w:val="22"/>
        </w:rPr>
        <w:t>，享受22日听课、会议资料、会议当日中餐、茶歇等。</w:t>
      </w:r>
    </w:p>
    <w:p>
      <w:pPr>
        <w:jc w:val="both"/>
        <w:rPr>
          <w:rFonts w:ascii="黑体" w:hAnsi="黑体" w:eastAsia="黑体" w:cs="黑体"/>
        </w:rPr>
      </w:pPr>
      <w:r>
        <w:rPr>
          <w:rFonts w:hint="eastAsia" w:ascii="黑体" w:hAnsi="黑体" w:eastAsia="黑体" w:cs="黑体"/>
          <w:b/>
          <w:bCs/>
        </w:rPr>
        <w:t>报名：</w:t>
      </w:r>
      <w:r>
        <w:rPr>
          <w:rFonts w:hint="eastAsia" w:ascii="黑体" w:hAnsi="黑体" w:eastAsia="黑体" w:cs="黑体"/>
        </w:rPr>
        <w:t>请登陆</w:t>
      </w:r>
      <w:r>
        <w:rPr>
          <w:rFonts w:hint="eastAsia" w:ascii="黑体" w:hAnsi="黑体" w:eastAsia="黑体" w:cs="黑体"/>
          <w:b/>
          <w:bCs/>
        </w:rPr>
        <w:t>《建筑技艺》官网首页（www.atd.com.cn）</w:t>
      </w:r>
      <w:r>
        <w:rPr>
          <w:rFonts w:hint="eastAsia" w:ascii="黑体" w:hAnsi="黑体" w:eastAsia="黑体" w:cs="黑体"/>
        </w:rPr>
        <w:t>右侧公告栏，下载填写会议回执表填写后发至：</w:t>
      </w:r>
      <w:r>
        <w:rPr>
          <w:rFonts w:hint="eastAsia" w:ascii="黑体" w:hAnsi="黑体" w:eastAsia="黑体" w:cs="黑体"/>
          <w:b/>
          <w:bCs/>
        </w:rPr>
        <w:t>atbaoming @qq.com</w:t>
      </w:r>
      <w:r>
        <w:rPr>
          <w:rFonts w:hint="eastAsia" w:ascii="黑体" w:hAnsi="黑体" w:eastAsia="黑体" w:cs="黑体"/>
        </w:rPr>
        <w:t>，会务组将在3个工作日内回复是否报名成功，如未收到回复请及时与会务组联系。须提前缴纳会议费以保证参会名额。</w:t>
      </w:r>
    </w:p>
    <w:p>
      <w:pPr>
        <w:jc w:val="both"/>
        <w:rPr>
          <w:rFonts w:ascii="黑体" w:hAnsi="黑体" w:eastAsia="黑体" w:cs="黑体"/>
        </w:rPr>
      </w:pPr>
    </w:p>
    <w:p>
      <w:pPr>
        <w:jc w:val="both"/>
        <w:rPr>
          <w:rFonts w:ascii="黑体" w:hAnsi="黑体" w:eastAsia="黑体" w:cs="黑体"/>
        </w:rPr>
      </w:pPr>
      <w:r>
        <w:rPr>
          <w:rFonts w:hint="eastAsia" w:ascii="黑体" w:hAnsi="黑体" w:eastAsia="黑体" w:cs="黑体"/>
        </w:rPr>
        <w:t>付款信息如下：</w:t>
      </w:r>
    </w:p>
    <w:p>
      <w:pPr>
        <w:jc w:val="both"/>
        <w:rPr>
          <w:rFonts w:ascii="黑体" w:hAnsi="黑体" w:eastAsia="黑体" w:cs="黑体"/>
        </w:rPr>
      </w:pPr>
      <w:r>
        <w:rPr>
          <w:rFonts w:hint="eastAsia" w:ascii="黑体" w:hAnsi="黑体" w:eastAsia="黑体" w:cs="黑体"/>
        </w:rPr>
        <w:t>户名：亚太建设科技信息研究院有限公司；</w:t>
      </w:r>
    </w:p>
    <w:p>
      <w:pPr>
        <w:jc w:val="both"/>
        <w:rPr>
          <w:rFonts w:ascii="黑体" w:hAnsi="黑体" w:eastAsia="黑体" w:cs="黑体"/>
        </w:rPr>
      </w:pPr>
      <w:r>
        <w:rPr>
          <w:rFonts w:hint="eastAsia" w:ascii="黑体" w:hAnsi="黑体" w:eastAsia="黑体" w:cs="黑体"/>
        </w:rPr>
        <w:t>开户银行：招商银行北京东三环支行；</w:t>
      </w:r>
    </w:p>
    <w:p>
      <w:pPr>
        <w:jc w:val="both"/>
        <w:rPr>
          <w:rFonts w:ascii="黑体" w:hAnsi="黑体" w:eastAsia="黑体" w:cs="黑体"/>
        </w:rPr>
      </w:pPr>
      <w:r>
        <w:rPr>
          <w:rFonts w:hint="eastAsia" w:ascii="黑体" w:hAnsi="黑体" w:eastAsia="黑体" w:cs="黑体"/>
        </w:rPr>
        <w:t>账号：110908001310606；</w:t>
      </w:r>
    </w:p>
    <w:p>
      <w:pPr>
        <w:jc w:val="both"/>
        <w:rPr>
          <w:rFonts w:ascii="黑体" w:hAnsi="黑体" w:eastAsia="黑体" w:cs="黑体"/>
        </w:rPr>
      </w:pPr>
      <w:r>
        <w:rPr>
          <w:rFonts w:hint="eastAsia" w:ascii="黑体" w:hAnsi="黑体" w:eastAsia="黑体" w:cs="黑体"/>
        </w:rPr>
        <w:t>汇款用途：交通论坛+参会人员姓名。</w:t>
      </w:r>
    </w:p>
    <w:p>
      <w:pPr>
        <w:jc w:val="both"/>
        <w:rPr>
          <w:rFonts w:ascii="黑体" w:hAnsi="黑体" w:eastAsia="黑体" w:cs="黑体"/>
          <w:color w:val="FF0000"/>
        </w:rPr>
      </w:pPr>
      <w:r>
        <w:rPr>
          <w:rFonts w:hint="eastAsia" w:ascii="黑体" w:hAnsi="黑体" w:eastAsia="黑体" w:cs="黑体"/>
          <w:b/>
          <w:bCs/>
          <w:color w:val="FF0000"/>
        </w:rPr>
        <w:t>特别提醒：</w:t>
      </w:r>
      <w:r>
        <w:rPr>
          <w:rFonts w:hint="eastAsia" w:ascii="黑体" w:hAnsi="黑体" w:eastAsia="黑体" w:cs="黑体"/>
          <w:color w:val="FF0000"/>
        </w:rPr>
        <w:t>请尽量采用银行汇款（柜台转款、网上银行和手机银行均可）形式，不推荐使用支付宝汇款（因支付宝系统原因会造成汇款信息不全，不能及时进账并开具发票）</w:t>
      </w:r>
    </w:p>
    <w:p>
      <w:pPr>
        <w:jc w:val="both"/>
        <w:rPr>
          <w:rFonts w:ascii="黑体" w:hAnsi="黑体" w:eastAsia="黑体" w:cs="黑体"/>
          <w:b/>
        </w:rPr>
      </w:pPr>
    </w:p>
    <w:p>
      <w:pPr>
        <w:jc w:val="both"/>
        <w:rPr>
          <w:rFonts w:ascii="黑体" w:hAnsi="黑体" w:eastAsia="黑体" w:cs="黑体"/>
          <w:b/>
        </w:rPr>
      </w:pPr>
      <w:r>
        <w:rPr>
          <w:rFonts w:hint="eastAsia" w:ascii="黑体" w:hAnsi="黑体" w:eastAsia="黑体" w:cs="黑体"/>
          <w:b/>
        </w:rPr>
        <w:t>五、酒店住宿</w:t>
      </w:r>
    </w:p>
    <w:p>
      <w:pPr>
        <w:jc w:val="both"/>
        <w:rPr>
          <w:rFonts w:ascii="黑体" w:hAnsi="黑体" w:eastAsia="黑体" w:cs="黑体"/>
        </w:rPr>
      </w:pPr>
      <w:r>
        <w:rPr>
          <w:rFonts w:hint="eastAsia" w:ascii="黑体" w:hAnsi="黑体" w:eastAsia="黑体" w:cs="黑体"/>
        </w:rPr>
        <w:t>会务组不负责订房事宜，请参会代表自行尽早预定：广东大厦（广州市东风中路309号），报“交通建筑论坛”可享受会议优惠价：468元/间/天（含早），订房电话：胡经理13640842440。代表也可以通过携程网等自行订房或选择其他酒店。</w:t>
      </w:r>
    </w:p>
    <w:p>
      <w:pPr>
        <w:pStyle w:val="6"/>
        <w:rPr>
          <w:rFonts w:ascii="黑体" w:hAnsi="黑体" w:eastAsia="黑体" w:cs="黑体"/>
          <w:sz w:val="21"/>
          <w:szCs w:val="21"/>
        </w:rPr>
      </w:pPr>
      <w:r>
        <w:rPr>
          <w:rStyle w:val="8"/>
          <w:rFonts w:hint="eastAsia" w:ascii="黑体" w:hAnsi="黑体" w:eastAsia="黑体" w:cs="黑体"/>
          <w:sz w:val="21"/>
          <w:szCs w:val="21"/>
        </w:rPr>
        <w:t>六、会务组联系方式</w:t>
      </w:r>
    </w:p>
    <w:p>
      <w:pPr>
        <w:pStyle w:val="6"/>
        <w:spacing w:before="0" w:beforeAutospacing="0" w:after="0" w:afterAutospacing="0"/>
        <w:rPr>
          <w:rFonts w:ascii="黑体" w:hAnsi="黑体" w:eastAsia="黑体" w:cs="黑体"/>
          <w:sz w:val="21"/>
          <w:szCs w:val="21"/>
        </w:rPr>
      </w:pPr>
      <w:r>
        <w:rPr>
          <w:rFonts w:hint="eastAsia" w:ascii="黑体" w:hAnsi="黑体" w:eastAsia="黑体" w:cs="黑体"/>
          <w:sz w:val="21"/>
          <w:szCs w:val="21"/>
        </w:rPr>
        <w:t>《建筑技艺》杂志社</w:t>
      </w:r>
    </w:p>
    <w:p>
      <w:pPr>
        <w:pStyle w:val="6"/>
        <w:spacing w:before="0" w:beforeAutospacing="0" w:after="0" w:afterAutospacing="0"/>
        <w:rPr>
          <w:rFonts w:ascii="黑体" w:hAnsi="黑体" w:eastAsia="黑体" w:cs="黑体"/>
          <w:sz w:val="21"/>
          <w:szCs w:val="21"/>
        </w:rPr>
      </w:pPr>
      <w:r>
        <w:rPr>
          <w:rFonts w:hint="eastAsia" w:ascii="黑体" w:hAnsi="黑体" w:eastAsia="黑体" w:cs="黑体"/>
          <w:sz w:val="21"/>
          <w:szCs w:val="21"/>
        </w:rPr>
        <w:t>刘晨：010-57368780，13051332575（报名咨询）</w:t>
      </w:r>
    </w:p>
    <w:p>
      <w:pPr>
        <w:pStyle w:val="6"/>
        <w:spacing w:before="0" w:beforeAutospacing="0" w:after="0" w:afterAutospacing="0"/>
        <w:rPr>
          <w:rFonts w:ascii="黑体" w:hAnsi="黑体" w:eastAsia="黑体" w:cs="黑体"/>
          <w:sz w:val="21"/>
          <w:szCs w:val="21"/>
        </w:rPr>
      </w:pPr>
      <w:r>
        <w:rPr>
          <w:rFonts w:hint="eastAsia" w:ascii="黑体" w:hAnsi="黑体" w:eastAsia="黑体" w:cs="黑体"/>
          <w:sz w:val="21"/>
          <w:szCs w:val="21"/>
        </w:rPr>
        <w:t>刘笑楠：010-57368773，13810118673（会议咨询）</w:t>
      </w:r>
    </w:p>
    <w:p>
      <w:pPr>
        <w:pStyle w:val="6"/>
        <w:spacing w:before="0" w:beforeAutospacing="0" w:after="0" w:afterAutospacing="0"/>
        <w:rPr>
          <w:rFonts w:ascii="黑体" w:hAnsi="黑体" w:eastAsia="黑体" w:cs="黑体"/>
          <w:sz w:val="21"/>
          <w:szCs w:val="21"/>
        </w:rPr>
      </w:pPr>
      <w:r>
        <w:rPr>
          <w:rFonts w:hint="eastAsia" w:ascii="黑体" w:hAnsi="黑体" w:eastAsia="黑体" w:cs="黑体"/>
          <w:sz w:val="21"/>
          <w:szCs w:val="21"/>
        </w:rPr>
        <w:t>杨琳：010-57368779，18701529806（招商咨询）</w:t>
      </w:r>
    </w:p>
    <w:p>
      <w:pPr>
        <w:pStyle w:val="6"/>
        <w:spacing w:before="0" w:beforeAutospacing="0" w:after="0" w:afterAutospacing="0"/>
        <w:rPr>
          <w:rFonts w:ascii="黑体" w:hAnsi="黑体" w:eastAsia="黑体" w:cs="黑体"/>
          <w:sz w:val="21"/>
          <w:szCs w:val="21"/>
        </w:rPr>
      </w:pPr>
      <w:r>
        <w:rPr>
          <w:rFonts w:hint="eastAsia" w:ascii="黑体" w:hAnsi="黑体" w:eastAsia="黑体" w:cs="黑体"/>
          <w:sz w:val="21"/>
          <w:szCs w:val="21"/>
        </w:rPr>
        <w:t>报名邮箱：</w:t>
      </w:r>
      <w:r>
        <w:fldChar w:fldCharType="begin"/>
      </w:r>
      <w:r>
        <w:instrText xml:space="preserve"> HYPERLINK "mailto:ATbaoming@qq.com" </w:instrText>
      </w:r>
      <w:r>
        <w:fldChar w:fldCharType="separate"/>
      </w:r>
      <w:r>
        <w:rPr>
          <w:rStyle w:val="9"/>
          <w:rFonts w:hint="eastAsia" w:ascii="黑体" w:hAnsi="黑体" w:eastAsia="黑体" w:cs="黑体"/>
          <w:sz w:val="21"/>
          <w:szCs w:val="21"/>
        </w:rPr>
        <w:t>ATbaoming@qq.com</w:t>
      </w:r>
      <w:r>
        <w:rPr>
          <w:rStyle w:val="9"/>
          <w:rFonts w:hint="eastAsia" w:ascii="黑体" w:hAnsi="黑体" w:eastAsia="黑体" w:cs="黑体"/>
          <w:sz w:val="21"/>
          <w:szCs w:val="21"/>
        </w:rPr>
        <w:fldChar w:fldCharType="end"/>
      </w:r>
    </w:p>
    <w:p>
      <w:pPr>
        <w:pStyle w:val="6"/>
        <w:spacing w:before="0" w:beforeAutospacing="0" w:after="0" w:afterAutospacing="0"/>
        <w:rPr>
          <w:rFonts w:ascii="黑体" w:hAnsi="黑体" w:eastAsia="黑体" w:cs="黑体"/>
          <w:sz w:val="21"/>
          <w:szCs w:val="21"/>
        </w:rPr>
      </w:pPr>
      <w:r>
        <w:rPr>
          <w:rFonts w:hint="eastAsia" w:ascii="黑体" w:hAnsi="黑体" w:eastAsia="黑体" w:cs="黑体"/>
          <w:sz w:val="21"/>
          <w:szCs w:val="21"/>
        </w:rPr>
        <w:t>网址：</w:t>
      </w:r>
      <w:r>
        <w:fldChar w:fldCharType="begin"/>
      </w:r>
      <w:r>
        <w:instrText xml:space="preserve"> HYPERLINK "http://www.atd.com.cn/" </w:instrText>
      </w:r>
      <w:r>
        <w:fldChar w:fldCharType="separate"/>
      </w:r>
      <w:r>
        <w:rPr>
          <w:rStyle w:val="9"/>
          <w:rFonts w:hint="eastAsia" w:ascii="黑体" w:hAnsi="黑体" w:eastAsia="黑体" w:cs="黑体"/>
          <w:sz w:val="21"/>
          <w:szCs w:val="21"/>
        </w:rPr>
        <w:t>www.atd.com.cn</w:t>
      </w:r>
      <w:r>
        <w:rPr>
          <w:rStyle w:val="9"/>
          <w:rFonts w:hint="eastAsia" w:ascii="黑体" w:hAnsi="黑体" w:eastAsia="黑体" w:cs="黑体"/>
          <w:sz w:val="21"/>
          <w:szCs w:val="21"/>
        </w:rPr>
        <w:fldChar w:fldCharType="end"/>
      </w:r>
    </w:p>
    <w:p>
      <w:pPr>
        <w:rPr>
          <w:rFonts w:ascii="黑体" w:hAnsi="黑体" w:eastAsia="黑体" w:cs="黑体"/>
          <w:b/>
          <w:color w:val="000000" w:themeColor="text1"/>
          <w:szCs w:val="21"/>
        </w:rPr>
      </w:pPr>
    </w:p>
    <w:p>
      <w:pPr>
        <w:widowControl/>
        <w:rPr>
          <w:rFonts w:ascii="黑体" w:hAnsi="黑体" w:eastAsia="黑体" w:cs="黑体"/>
          <w:kern w:val="0"/>
          <w:sz w:val="24"/>
          <w:szCs w:val="24"/>
        </w:rPr>
      </w:pPr>
      <w:r>
        <w:rPr>
          <w:rFonts w:hint="eastAsia" w:ascii="黑体" w:hAnsi="黑体" w:eastAsia="黑体" w:cs="黑体"/>
          <w:b/>
          <w:bCs/>
          <w:kern w:val="0"/>
          <w:sz w:val="24"/>
          <w:szCs w:val="24"/>
        </w:rPr>
        <w:t>附件：报名回执表</w:t>
      </w:r>
    </w:p>
    <w:tbl>
      <w:tblPr>
        <w:tblStyle w:val="10"/>
        <w:tblW w:w="9931" w:type="dxa"/>
        <w:tblInd w:w="0" w:type="dxa"/>
        <w:tblLayout w:type="fixed"/>
        <w:tblCellMar>
          <w:top w:w="0" w:type="dxa"/>
          <w:left w:w="0" w:type="dxa"/>
          <w:bottom w:w="0" w:type="dxa"/>
          <w:right w:w="0" w:type="dxa"/>
        </w:tblCellMar>
      </w:tblPr>
      <w:tblGrid>
        <w:gridCol w:w="9931"/>
      </w:tblGrid>
      <w:tr>
        <w:tblPrEx>
          <w:tblLayout w:type="fixed"/>
          <w:tblCellMar>
            <w:top w:w="0" w:type="dxa"/>
            <w:left w:w="0" w:type="dxa"/>
            <w:bottom w:w="0" w:type="dxa"/>
            <w:right w:w="0" w:type="dxa"/>
          </w:tblCellMar>
        </w:tblPrEx>
        <w:tc>
          <w:tcPr>
            <w:tcW w:w="9931" w:type="dxa"/>
            <w:tcBorders>
              <w:top w:val="single" w:color="FF0000" w:sz="24" w:space="0"/>
              <w:left w:val="single" w:color="FF0000" w:sz="24" w:space="0"/>
              <w:bottom w:val="single" w:color="FF0000" w:sz="24" w:space="0"/>
              <w:right w:val="single" w:color="FF0000" w:sz="24" w:space="0"/>
            </w:tcBorders>
            <w:tcMar>
              <w:top w:w="0" w:type="dxa"/>
              <w:left w:w="108" w:type="dxa"/>
              <w:bottom w:w="0" w:type="dxa"/>
              <w:right w:w="108" w:type="dxa"/>
            </w:tcMar>
          </w:tcPr>
          <w:p>
            <w:pPr>
              <w:widowControl/>
              <w:jc w:val="center"/>
              <w:rPr>
                <w:rFonts w:ascii="黑体" w:hAnsi="黑体" w:eastAsia="黑体" w:cs="黑体"/>
                <w:kern w:val="0"/>
                <w:sz w:val="24"/>
                <w:szCs w:val="24"/>
              </w:rPr>
            </w:pPr>
            <w:r>
              <w:rPr>
                <w:rFonts w:hint="eastAsia" w:ascii="黑体" w:hAnsi="黑体" w:eastAsia="黑体" w:cs="黑体"/>
                <w:b/>
                <w:bCs/>
                <w:kern w:val="0"/>
                <w:sz w:val="24"/>
                <w:szCs w:val="24"/>
              </w:rPr>
              <w:t>特 别 提 醒</w:t>
            </w:r>
          </w:p>
          <w:p>
            <w:pPr>
              <w:widowControl/>
              <w:ind w:firstLine="422"/>
              <w:rPr>
                <w:rFonts w:ascii="黑体" w:hAnsi="黑体" w:eastAsia="黑体" w:cs="黑体"/>
                <w:kern w:val="0"/>
                <w:sz w:val="24"/>
                <w:szCs w:val="24"/>
              </w:rPr>
            </w:pPr>
            <w:r>
              <w:rPr>
                <w:rFonts w:hint="eastAsia" w:ascii="黑体" w:hAnsi="黑体" w:eastAsia="黑体" w:cs="黑体"/>
                <w:b/>
                <w:bCs/>
                <w:kern w:val="0"/>
                <w:sz w:val="24"/>
                <w:szCs w:val="24"/>
              </w:rPr>
              <w:t>（1）关于发票事宜：请在填写回执表前跟本单位财务部门了解清楚是否需要开具增值税专用发票，如果需要，请您提供准确的增值税专用发票信息，包括：发票抬头（即名称）、税号、地址、电话、开户银行、账号；</w:t>
            </w:r>
            <w:r>
              <w:rPr>
                <w:rFonts w:hint="eastAsia" w:ascii="黑体" w:hAnsi="黑体" w:eastAsia="黑体" w:cs="黑体"/>
                <w:b/>
                <w:bCs/>
                <w:kern w:val="0"/>
                <w:sz w:val="24"/>
                <w:szCs w:val="24"/>
                <w:u w:val="single"/>
              </w:rPr>
              <w:t>如您未提供增值税专用发票信息，则默认开具增值税普通发票，开具后一律不能更改退换！！！</w:t>
            </w:r>
            <w:r>
              <w:rPr>
                <w:rFonts w:hint="eastAsia" w:ascii="黑体" w:hAnsi="黑体" w:eastAsia="黑体" w:cs="黑体"/>
                <w:b/>
                <w:bCs/>
                <w:kern w:val="0"/>
                <w:sz w:val="24"/>
                <w:szCs w:val="24"/>
              </w:rPr>
              <w:t xml:space="preserve"> </w:t>
            </w:r>
          </w:p>
          <w:p>
            <w:pPr>
              <w:widowControl/>
              <w:ind w:firstLine="422"/>
              <w:rPr>
                <w:rFonts w:ascii="黑体" w:hAnsi="黑体" w:eastAsia="黑体" w:cs="黑体"/>
                <w:kern w:val="0"/>
                <w:sz w:val="24"/>
                <w:szCs w:val="24"/>
              </w:rPr>
            </w:pPr>
            <w:r>
              <w:rPr>
                <w:rFonts w:hint="eastAsia" w:ascii="黑体" w:hAnsi="黑体" w:eastAsia="黑体" w:cs="黑体"/>
                <w:b/>
                <w:bCs/>
                <w:kern w:val="0"/>
                <w:sz w:val="24"/>
                <w:szCs w:val="24"/>
              </w:rPr>
              <w:t>（2）请尽量采用银行汇款（柜台转款、网上银行和手机银行均可）形式，</w:t>
            </w:r>
            <w:r>
              <w:rPr>
                <w:rFonts w:hint="eastAsia" w:ascii="黑体" w:hAnsi="黑体" w:eastAsia="黑体" w:cs="黑体"/>
                <w:b/>
                <w:bCs/>
                <w:kern w:val="0"/>
                <w:sz w:val="24"/>
                <w:szCs w:val="24"/>
                <w:u w:val="single"/>
              </w:rPr>
              <w:t>不推荐使用支付宝汇款</w:t>
            </w:r>
            <w:r>
              <w:rPr>
                <w:rFonts w:hint="eastAsia" w:ascii="黑体" w:hAnsi="黑体" w:eastAsia="黑体" w:cs="黑体"/>
                <w:b/>
                <w:bCs/>
                <w:kern w:val="0"/>
                <w:sz w:val="24"/>
                <w:szCs w:val="24"/>
              </w:rPr>
              <w:t>（因系统原因，支付宝汇款会造成汇款信息不全，不能及时进账和开具发票）。</w:t>
            </w:r>
          </w:p>
        </w:tc>
      </w:tr>
    </w:tbl>
    <w:p>
      <w:pPr>
        <w:rPr>
          <w:rFonts w:ascii="黑体" w:hAnsi="黑体" w:eastAsia="黑体" w:cs="黑体"/>
          <w:b/>
          <w:color w:val="000000" w:themeColor="text1"/>
          <w:szCs w:val="21"/>
        </w:rPr>
      </w:pPr>
    </w:p>
    <w:tbl>
      <w:tblPr>
        <w:tblStyle w:val="10"/>
        <w:tblW w:w="9968" w:type="dxa"/>
        <w:tblInd w:w="0" w:type="dxa"/>
        <w:tblLayout w:type="fixed"/>
        <w:tblCellMar>
          <w:top w:w="0" w:type="dxa"/>
          <w:left w:w="0" w:type="dxa"/>
          <w:bottom w:w="0" w:type="dxa"/>
          <w:right w:w="0" w:type="dxa"/>
        </w:tblCellMar>
      </w:tblPr>
      <w:tblGrid>
        <w:gridCol w:w="1595"/>
        <w:gridCol w:w="1096"/>
        <w:gridCol w:w="997"/>
        <w:gridCol w:w="1794"/>
        <w:gridCol w:w="997"/>
        <w:gridCol w:w="598"/>
        <w:gridCol w:w="2891"/>
      </w:tblGrid>
      <w:tr>
        <w:tblPrEx>
          <w:tblLayout w:type="fixed"/>
          <w:tblCellMar>
            <w:top w:w="0" w:type="dxa"/>
            <w:left w:w="0" w:type="dxa"/>
            <w:bottom w:w="0" w:type="dxa"/>
            <w:right w:w="0" w:type="dxa"/>
          </w:tblCellMar>
        </w:tblPrEx>
        <w:trPr>
          <w:trHeight w:val="284" w:hRule="atLeast"/>
        </w:trPr>
        <w:tc>
          <w:tcPr>
            <w:tcW w:w="9968" w:type="dxa"/>
            <w:gridSpan w:val="7"/>
            <w:tcBorders>
              <w:top w:val="double" w:color="auto" w:sz="6"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hAnsi="宋体" w:eastAsia="宋体" w:cs="宋体"/>
                <w:color w:val="000000"/>
                <w:sz w:val="24"/>
                <w:szCs w:val="24"/>
              </w:rPr>
            </w:pPr>
            <w:r>
              <w:rPr>
                <w:rFonts w:hint="eastAsia"/>
                <w:b/>
                <w:bCs/>
                <w:color w:val="000000"/>
                <w:sz w:val="18"/>
                <w:szCs w:val="18"/>
              </w:rPr>
              <w:t>附：2018机场+高铁站+TOD 论坛（填写完整后发送到：ATbaoming@qq.com）</w:t>
            </w:r>
          </w:p>
        </w:tc>
      </w:tr>
      <w:tr>
        <w:tblPrEx>
          <w:tblLayout w:type="fixed"/>
          <w:tblCellMar>
            <w:top w:w="0" w:type="dxa"/>
            <w:left w:w="0" w:type="dxa"/>
            <w:bottom w:w="0" w:type="dxa"/>
            <w:right w:w="0" w:type="dxa"/>
          </w:tblCellMar>
        </w:tblPrEx>
        <w:trPr>
          <w:trHeight w:val="284" w:hRule="atLeast"/>
        </w:trPr>
        <w:tc>
          <w:tcPr>
            <w:tcW w:w="1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hAnsi="宋体" w:eastAsia="宋体" w:cs="宋体"/>
                <w:color w:val="000000"/>
                <w:sz w:val="24"/>
                <w:szCs w:val="24"/>
              </w:rPr>
            </w:pPr>
            <w:r>
              <w:rPr>
                <w:rFonts w:hint="eastAsia"/>
                <w:b/>
                <w:bCs/>
                <w:color w:val="000000"/>
                <w:sz w:val="18"/>
                <w:szCs w:val="18"/>
              </w:rPr>
              <w:t>参会代表姓名</w:t>
            </w:r>
          </w:p>
        </w:tc>
        <w:tc>
          <w:tcPr>
            <w:tcW w:w="209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hAnsi="宋体" w:eastAsia="宋体" w:cs="宋体"/>
                <w:color w:val="000000"/>
                <w:sz w:val="24"/>
                <w:szCs w:val="24"/>
              </w:rPr>
            </w:pPr>
            <w:r>
              <w:rPr>
                <w:rFonts w:hint="eastAsia"/>
                <w:b/>
                <w:bCs/>
                <w:color w:val="000000"/>
                <w:sz w:val="18"/>
                <w:szCs w:val="18"/>
              </w:rPr>
              <w:t>单位</w:t>
            </w:r>
          </w:p>
        </w:tc>
        <w:tc>
          <w:tcPr>
            <w:tcW w:w="1794"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hAnsi="宋体" w:eastAsia="宋体" w:cs="宋体"/>
                <w:color w:val="000000"/>
                <w:sz w:val="24"/>
                <w:szCs w:val="24"/>
              </w:rPr>
            </w:pPr>
            <w:r>
              <w:rPr>
                <w:rFonts w:hint="eastAsia"/>
                <w:b/>
                <w:bCs/>
                <w:color w:val="000000"/>
                <w:sz w:val="18"/>
                <w:szCs w:val="18"/>
              </w:rPr>
              <w:t>职务或职称</w:t>
            </w:r>
          </w:p>
        </w:tc>
        <w:tc>
          <w:tcPr>
            <w:tcW w:w="159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hAnsi="宋体" w:eastAsia="宋体" w:cs="宋体"/>
                <w:color w:val="000000"/>
                <w:sz w:val="24"/>
                <w:szCs w:val="24"/>
              </w:rPr>
            </w:pPr>
            <w:r>
              <w:rPr>
                <w:rFonts w:hint="eastAsia"/>
                <w:b/>
                <w:bCs/>
                <w:color w:val="000000"/>
                <w:sz w:val="18"/>
                <w:szCs w:val="18"/>
              </w:rPr>
              <w:t>手机</w:t>
            </w:r>
          </w:p>
        </w:tc>
        <w:tc>
          <w:tcPr>
            <w:tcW w:w="2891"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hAnsi="宋体" w:eastAsia="宋体" w:cs="宋体"/>
                <w:color w:val="000000"/>
                <w:sz w:val="24"/>
                <w:szCs w:val="24"/>
              </w:rPr>
            </w:pPr>
            <w:r>
              <w:rPr>
                <w:rFonts w:hint="eastAsia"/>
                <w:b/>
                <w:bCs/>
                <w:color w:val="000000"/>
                <w:sz w:val="18"/>
                <w:szCs w:val="18"/>
              </w:rPr>
              <w:t>邮箱</w:t>
            </w:r>
          </w:p>
        </w:tc>
      </w:tr>
      <w:tr>
        <w:tblPrEx>
          <w:tblLayout w:type="fixed"/>
          <w:tblCellMar>
            <w:top w:w="0" w:type="dxa"/>
            <w:left w:w="0" w:type="dxa"/>
            <w:bottom w:w="0" w:type="dxa"/>
            <w:right w:w="0" w:type="dxa"/>
          </w:tblCellMar>
        </w:tblPrEx>
        <w:trPr>
          <w:trHeight w:val="284" w:hRule="atLeast"/>
        </w:trPr>
        <w:tc>
          <w:tcPr>
            <w:tcW w:w="159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eastAsia="宋体" w:cs="宋体"/>
                <w:color w:val="000000"/>
                <w:sz w:val="24"/>
                <w:szCs w:val="24"/>
              </w:rPr>
            </w:pPr>
          </w:p>
        </w:tc>
        <w:tc>
          <w:tcPr>
            <w:tcW w:w="20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179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15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289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159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eastAsia="宋体" w:cs="宋体"/>
                <w:color w:val="000000"/>
                <w:sz w:val="24"/>
                <w:szCs w:val="24"/>
              </w:rPr>
            </w:pPr>
          </w:p>
        </w:tc>
        <w:tc>
          <w:tcPr>
            <w:tcW w:w="20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179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15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289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159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eastAsia="宋体" w:cs="宋体"/>
                <w:color w:val="000000"/>
                <w:sz w:val="24"/>
                <w:szCs w:val="24"/>
              </w:rPr>
            </w:pPr>
          </w:p>
        </w:tc>
        <w:tc>
          <w:tcPr>
            <w:tcW w:w="20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179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15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c>
          <w:tcPr>
            <w:tcW w:w="289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restart"/>
            <w:tcBorders>
              <w:top w:val="nil"/>
              <w:left w:val="single" w:color="auto" w:sz="8" w:space="0"/>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eastAsia="宋体" w:cs="宋体"/>
                <w:color w:val="000000"/>
                <w:sz w:val="24"/>
                <w:szCs w:val="24"/>
              </w:rPr>
            </w:pPr>
            <w:r>
              <w:rPr>
                <w:rFonts w:hint="eastAsia"/>
                <w:color w:val="000000"/>
                <w:sz w:val="18"/>
                <w:szCs w:val="18"/>
              </w:rPr>
              <w:t>汇款信息</w:t>
            </w: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汇出方式（银行、支付宝、微信）</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汇出时间（格式：年</w:t>
            </w:r>
            <w:r>
              <w:rPr>
                <w:color w:val="000000"/>
                <w:sz w:val="18"/>
                <w:szCs w:val="18"/>
              </w:rPr>
              <w:t>/</w:t>
            </w:r>
            <w:r>
              <w:rPr>
                <w:rFonts w:hint="eastAsia"/>
                <w:color w:val="000000"/>
                <w:sz w:val="18"/>
                <w:szCs w:val="18"/>
              </w:rPr>
              <w:t>月</w:t>
            </w:r>
            <w:r>
              <w:rPr>
                <w:color w:val="000000"/>
                <w:sz w:val="18"/>
                <w:szCs w:val="18"/>
              </w:rPr>
              <w:t>/</w:t>
            </w:r>
            <w:r>
              <w:rPr>
                <w:rFonts w:hint="eastAsia"/>
                <w:color w:val="000000"/>
                <w:sz w:val="18"/>
                <w:szCs w:val="18"/>
              </w:rPr>
              <w:t>日）</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汇款单位（以个人名义汇款请注明汇款人）</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汇款金额（元）</w:t>
            </w:r>
          </w:p>
        </w:tc>
        <w:tc>
          <w:tcPr>
            <w:tcW w:w="3489" w:type="dxa"/>
            <w:gridSpan w:val="2"/>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restart"/>
            <w:tcBorders>
              <w:top w:val="nil"/>
              <w:left w:val="single" w:color="auto" w:sz="8" w:space="0"/>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eastAsia="宋体" w:cs="宋体"/>
                <w:color w:val="000000"/>
                <w:sz w:val="24"/>
                <w:szCs w:val="24"/>
              </w:rPr>
            </w:pPr>
            <w:r>
              <w:rPr>
                <w:rFonts w:hint="eastAsia"/>
                <w:color w:val="000000"/>
                <w:sz w:val="18"/>
                <w:szCs w:val="18"/>
              </w:rPr>
              <w:t>发票信息</w:t>
            </w: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发票张数（无特殊要求按总金额开一张）</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发票抬头（务必准确）</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发票税号</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发票内容</w:t>
            </w:r>
          </w:p>
        </w:tc>
        <w:tc>
          <w:tcPr>
            <w:tcW w:w="3489" w:type="dxa"/>
            <w:gridSpan w:val="2"/>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会议费</w:t>
            </w:r>
          </w:p>
        </w:tc>
      </w:tr>
      <w:tr>
        <w:tblPrEx>
          <w:tblLayout w:type="fixed"/>
          <w:tblCellMar>
            <w:top w:w="0" w:type="dxa"/>
            <w:left w:w="0" w:type="dxa"/>
            <w:bottom w:w="0" w:type="dxa"/>
            <w:right w:w="0" w:type="dxa"/>
          </w:tblCellMar>
        </w:tblPrEx>
        <w:trPr>
          <w:trHeight w:val="284" w:hRule="atLeast"/>
        </w:trPr>
        <w:tc>
          <w:tcPr>
            <w:tcW w:w="2691" w:type="dxa"/>
            <w:gridSpan w:val="2"/>
            <w:vMerge w:val="restart"/>
            <w:tcBorders>
              <w:top w:val="nil"/>
              <w:left w:val="single" w:color="auto" w:sz="8" w:space="0"/>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eastAsia="宋体" w:cs="宋体"/>
                <w:color w:val="000000"/>
                <w:sz w:val="24"/>
                <w:szCs w:val="24"/>
              </w:rPr>
            </w:pPr>
            <w:r>
              <w:rPr>
                <w:rFonts w:hint="eastAsia"/>
                <w:color w:val="000000"/>
                <w:sz w:val="18"/>
                <w:szCs w:val="18"/>
              </w:rPr>
              <w:t>发票接收人信息</w:t>
            </w: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姓名</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地址（务必详细，以免丢失）</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手机</w:t>
            </w:r>
          </w:p>
        </w:tc>
        <w:tc>
          <w:tcPr>
            <w:tcW w:w="3489" w:type="dxa"/>
            <w:gridSpan w:val="2"/>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restart"/>
            <w:tcBorders>
              <w:top w:val="nil"/>
              <w:left w:val="single" w:color="auto" w:sz="8" w:space="0"/>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如需开</w:t>
            </w:r>
            <w:r>
              <w:rPr>
                <w:rFonts w:hint="eastAsia"/>
                <w:b/>
                <w:bCs/>
                <w:color w:val="000000"/>
                <w:sz w:val="18"/>
                <w:szCs w:val="18"/>
              </w:rPr>
              <w:t>增值税专用发票</w:t>
            </w:r>
            <w:r>
              <w:rPr>
                <w:rFonts w:hint="eastAsia"/>
                <w:color w:val="000000"/>
                <w:sz w:val="18"/>
                <w:szCs w:val="18"/>
              </w:rPr>
              <w:t>，需详细填写右侧相关信息；</w:t>
            </w:r>
            <w:r>
              <w:rPr>
                <w:rFonts w:hint="eastAsia"/>
                <w:color w:val="000000"/>
                <w:sz w:val="18"/>
                <w:szCs w:val="18"/>
                <w:u w:val="single"/>
              </w:rPr>
              <w:t>如未填写右侧空白栏则默认为只需开具增值税普通发票，且</w:t>
            </w:r>
            <w:r>
              <w:rPr>
                <w:rFonts w:hint="eastAsia"/>
                <w:b/>
                <w:bCs/>
                <w:color w:val="000000"/>
                <w:sz w:val="18"/>
                <w:szCs w:val="18"/>
                <w:u w:val="single"/>
              </w:rPr>
              <w:t>开具后不予更换</w:t>
            </w:r>
            <w:r>
              <w:rPr>
                <w:rFonts w:hint="eastAsia"/>
                <w:color w:val="000000"/>
                <w:sz w:val="18"/>
                <w:szCs w:val="18"/>
                <w:u w:val="single"/>
              </w:rPr>
              <w:t>！！！</w:t>
            </w: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发票抬头（即名称）</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税号</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地址</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电话</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开户银行</w:t>
            </w:r>
          </w:p>
        </w:tc>
        <w:tc>
          <w:tcPr>
            <w:tcW w:w="34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284" w:hRule="atLeast"/>
        </w:trPr>
        <w:tc>
          <w:tcPr>
            <w:tcW w:w="2691" w:type="dxa"/>
            <w:gridSpan w:val="2"/>
            <w:vMerge w:val="continue"/>
            <w:tcBorders>
              <w:top w:val="nil"/>
              <w:left w:val="single" w:color="auto" w:sz="8" w:space="0"/>
              <w:bottom w:val="double" w:color="auto" w:sz="6" w:space="0"/>
              <w:right w:val="single" w:color="auto" w:sz="8" w:space="0"/>
            </w:tcBorders>
            <w:vAlign w:val="center"/>
          </w:tcPr>
          <w:p>
            <w:pPr>
              <w:rPr>
                <w:rFonts w:ascii="宋体" w:hAnsi="宋体" w:eastAsia="宋体" w:cs="宋体"/>
                <w:color w:val="000000"/>
                <w:sz w:val="24"/>
                <w:szCs w:val="24"/>
              </w:rPr>
            </w:pPr>
          </w:p>
        </w:tc>
        <w:tc>
          <w:tcPr>
            <w:tcW w:w="3788" w:type="dxa"/>
            <w:gridSpan w:val="3"/>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r>
              <w:rPr>
                <w:rFonts w:hint="eastAsia"/>
                <w:color w:val="000000"/>
                <w:sz w:val="18"/>
                <w:szCs w:val="18"/>
              </w:rPr>
              <w:t>账号</w:t>
            </w:r>
          </w:p>
        </w:tc>
        <w:tc>
          <w:tcPr>
            <w:tcW w:w="3489" w:type="dxa"/>
            <w:gridSpan w:val="2"/>
            <w:tcBorders>
              <w:top w:val="nil"/>
              <w:left w:val="nil"/>
              <w:bottom w:val="double" w:color="auto" w:sz="6"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hAnsi="宋体" w:eastAsia="宋体" w:cs="宋体"/>
                <w:color w:val="000000"/>
                <w:sz w:val="24"/>
                <w:szCs w:val="24"/>
              </w:rPr>
            </w:pPr>
          </w:p>
        </w:tc>
      </w:tr>
    </w:tbl>
    <w:p>
      <w:pPr>
        <w:widowControl/>
        <w:rPr>
          <w:rFonts w:hint="eastAsia" w:ascii="黑体" w:hAnsi="黑体" w:eastAsia="黑体" w:cs="黑体"/>
          <w:color w:val="FF0000"/>
          <w:kern w:val="0"/>
          <w:szCs w:val="21"/>
        </w:rPr>
      </w:pPr>
      <w:r>
        <w:rPr>
          <w:rFonts w:hint="eastAsia" w:ascii="黑体" w:hAnsi="黑体" w:eastAsia="黑体" w:cs="黑体"/>
          <w:kern w:val="0"/>
          <w:sz w:val="24"/>
          <w:szCs w:val="24"/>
        </w:rPr>
        <w:t>注：</w:t>
      </w:r>
      <w:r>
        <w:rPr>
          <w:rFonts w:hint="eastAsia" w:ascii="黑体" w:hAnsi="黑体" w:eastAsia="黑体" w:cs="黑体"/>
          <w:color w:val="FF0000"/>
          <w:kern w:val="0"/>
          <w:szCs w:val="21"/>
        </w:rPr>
        <w:t>邮件主题请命名为：广州交通论坛报名回执-参会代表姓名。</w:t>
      </w:r>
    </w:p>
    <w:p>
      <w:pPr>
        <w:widowControl/>
        <w:rPr>
          <w:rFonts w:hint="eastAsia" w:ascii="黑体" w:hAnsi="黑体" w:eastAsia="黑体" w:cs="黑体"/>
          <w:color w:val="FF0000"/>
          <w:kern w:val="0"/>
          <w:szCs w:val="21"/>
        </w:rPr>
      </w:pPr>
    </w:p>
    <w:p>
      <w:pPr>
        <w:widowControl/>
        <w:ind w:firstLine="525" w:firstLineChars="250"/>
        <w:rPr>
          <w:rFonts w:hint="eastAsia" w:ascii="黑体" w:hAnsi="黑体" w:eastAsia="黑体" w:cs="黑体"/>
          <w:i/>
          <w:color w:val="000000" w:themeColor="text1"/>
          <w:kern w:val="0"/>
          <w:szCs w:val="21"/>
          <w:u w:val="single"/>
        </w:rPr>
      </w:pPr>
      <w:r>
        <w:rPr>
          <w:rFonts w:hint="eastAsia" w:ascii="黑体" w:hAnsi="黑体" w:eastAsia="黑体" w:cs="黑体"/>
          <w:i/>
          <w:color w:val="000000" w:themeColor="text1"/>
          <w:kern w:val="0"/>
          <w:szCs w:val="21"/>
          <w:u w:val="single"/>
        </w:rPr>
        <w:t>注：《建筑技艺》杂志创刊于1994年，海内外公开发行。由中国建设科技集团股份有限公司主办，</w:t>
      </w:r>
      <w:r>
        <w:rPr>
          <w:rFonts w:hint="eastAsia" w:ascii="黑体" w:hAnsi="黑体" w:eastAsia="黑体" w:cs="黑体"/>
          <w:b/>
          <w:i/>
          <w:color w:val="0070C0"/>
          <w:kern w:val="0"/>
          <w:sz w:val="24"/>
          <w:szCs w:val="24"/>
          <w:u w:val="single"/>
        </w:rPr>
        <w:t>崔愷</w:t>
      </w:r>
      <w:r>
        <w:rPr>
          <w:rFonts w:hint="eastAsia" w:ascii="黑体" w:hAnsi="黑体" w:eastAsia="黑体" w:cs="黑体"/>
          <w:i/>
          <w:color w:val="000000" w:themeColor="text1"/>
          <w:kern w:val="0"/>
          <w:szCs w:val="21"/>
          <w:u w:val="single"/>
        </w:rPr>
        <w:t>院士任编委会主任。现有微信粉丝</w:t>
      </w:r>
      <w:r>
        <w:rPr>
          <w:rFonts w:hint="eastAsia" w:ascii="黑体" w:hAnsi="黑体" w:eastAsia="黑体" w:cs="黑体"/>
          <w:b/>
          <w:i/>
          <w:color w:val="FF0000"/>
          <w:kern w:val="0"/>
          <w:sz w:val="24"/>
          <w:szCs w:val="24"/>
          <w:u w:val="single"/>
        </w:rPr>
        <w:t>31万+</w:t>
      </w:r>
      <w:r>
        <w:rPr>
          <w:rFonts w:hint="eastAsia" w:ascii="黑体" w:hAnsi="黑体" w:eastAsia="黑体" w:cs="黑体"/>
          <w:i/>
          <w:color w:val="000000" w:themeColor="text1"/>
          <w:kern w:val="0"/>
          <w:szCs w:val="21"/>
          <w:u w:val="single"/>
        </w:rPr>
        <w:t>，关注“《建筑技艺》杂志”公众号现场可领取精美小礼品一份。</w:t>
      </w:r>
    </w:p>
    <w:p>
      <w:pPr>
        <w:widowControl/>
        <w:jc w:val="center"/>
        <w:rPr>
          <w:rFonts w:ascii="黑体" w:hAnsi="黑体" w:eastAsia="黑体" w:cs="黑体"/>
          <w:color w:val="000000" w:themeColor="text1"/>
          <w:kern w:val="0"/>
          <w:sz w:val="24"/>
          <w:szCs w:val="24"/>
        </w:rPr>
      </w:pPr>
      <w:r>
        <w:rPr>
          <w:rFonts w:ascii="黑体" w:hAnsi="黑体" w:eastAsia="黑体" w:cs="黑体"/>
          <w:color w:val="000000" w:themeColor="text1"/>
          <w:kern w:val="0"/>
          <w:sz w:val="24"/>
          <w:szCs w:val="24"/>
        </w:rPr>
        <w:drawing>
          <wp:inline distT="0" distB="0" distL="0" distR="0">
            <wp:extent cx="1682750" cy="1636395"/>
            <wp:effectExtent l="19050" t="0" r="0" b="0"/>
            <wp:docPr id="1" name="图片 0" descr="建筑技艺官微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建筑技艺官微二维码.png"/>
                    <pic:cNvPicPr>
                      <a:picLocks noChangeAspect="1"/>
                    </pic:cNvPicPr>
                  </pic:nvPicPr>
                  <pic:blipFill>
                    <a:blip r:embed="rId4" cstate="print"/>
                    <a:stretch>
                      <a:fillRect/>
                    </a:stretch>
                  </pic:blipFill>
                  <pic:spPr>
                    <a:xfrm>
                      <a:off x="0" y="0"/>
                      <a:ext cx="1682985" cy="1637252"/>
                    </a:xfrm>
                    <a:prstGeom prst="rect">
                      <a:avLst/>
                    </a:prstGeom>
                  </pic:spPr>
                </pic:pic>
              </a:graphicData>
            </a:graphic>
          </wp:inline>
        </w:drawing>
      </w:r>
    </w:p>
    <w:p>
      <w:pPr>
        <w:jc w:val="both"/>
        <w:rPr>
          <w:rFonts w:ascii="黑体" w:hAnsi="黑体" w:eastAsia="黑体" w:cs="黑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LanTingHei-L-GBK">
    <w:altName w:val="宋体"/>
    <w:panose1 w:val="00000000000000000000"/>
    <w:charset w:val="86"/>
    <w:family w:val="swiss"/>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4B0"/>
    <w:rsid w:val="00034C96"/>
    <w:rsid w:val="00043D50"/>
    <w:rsid w:val="0006277A"/>
    <w:rsid w:val="00070CB3"/>
    <w:rsid w:val="000930C1"/>
    <w:rsid w:val="00133B99"/>
    <w:rsid w:val="001634EE"/>
    <w:rsid w:val="0016706B"/>
    <w:rsid w:val="00177291"/>
    <w:rsid w:val="001909A2"/>
    <w:rsid w:val="001A789E"/>
    <w:rsid w:val="001C6E9C"/>
    <w:rsid w:val="001D3694"/>
    <w:rsid w:val="001F0F1F"/>
    <w:rsid w:val="002134CB"/>
    <w:rsid w:val="002363CE"/>
    <w:rsid w:val="00245FE0"/>
    <w:rsid w:val="002464DC"/>
    <w:rsid w:val="002526C9"/>
    <w:rsid w:val="0028433F"/>
    <w:rsid w:val="00286DB3"/>
    <w:rsid w:val="002D1AF9"/>
    <w:rsid w:val="002D45BD"/>
    <w:rsid w:val="003309F5"/>
    <w:rsid w:val="00357A80"/>
    <w:rsid w:val="00371B88"/>
    <w:rsid w:val="003756DA"/>
    <w:rsid w:val="00375B40"/>
    <w:rsid w:val="003A5CCF"/>
    <w:rsid w:val="003C3E21"/>
    <w:rsid w:val="003C6843"/>
    <w:rsid w:val="003E11A9"/>
    <w:rsid w:val="00411551"/>
    <w:rsid w:val="00415A69"/>
    <w:rsid w:val="00442512"/>
    <w:rsid w:val="00486543"/>
    <w:rsid w:val="004B0188"/>
    <w:rsid w:val="004D46A9"/>
    <w:rsid w:val="004E739B"/>
    <w:rsid w:val="00514D88"/>
    <w:rsid w:val="00522257"/>
    <w:rsid w:val="005475C8"/>
    <w:rsid w:val="0057036F"/>
    <w:rsid w:val="00594728"/>
    <w:rsid w:val="005A5DA3"/>
    <w:rsid w:val="005A7043"/>
    <w:rsid w:val="005B6045"/>
    <w:rsid w:val="005E45AA"/>
    <w:rsid w:val="005F779D"/>
    <w:rsid w:val="00640B34"/>
    <w:rsid w:val="006411A8"/>
    <w:rsid w:val="00661E2E"/>
    <w:rsid w:val="00666085"/>
    <w:rsid w:val="00677A3D"/>
    <w:rsid w:val="00693B05"/>
    <w:rsid w:val="006C4A0C"/>
    <w:rsid w:val="006F4AE8"/>
    <w:rsid w:val="006F50F3"/>
    <w:rsid w:val="00742180"/>
    <w:rsid w:val="00744461"/>
    <w:rsid w:val="007516DD"/>
    <w:rsid w:val="00754637"/>
    <w:rsid w:val="007A471E"/>
    <w:rsid w:val="007D290F"/>
    <w:rsid w:val="007D612A"/>
    <w:rsid w:val="007E0330"/>
    <w:rsid w:val="007E4DEB"/>
    <w:rsid w:val="007E579A"/>
    <w:rsid w:val="008524F0"/>
    <w:rsid w:val="00887F94"/>
    <w:rsid w:val="008A0347"/>
    <w:rsid w:val="008A5B45"/>
    <w:rsid w:val="008C1C43"/>
    <w:rsid w:val="008C7F33"/>
    <w:rsid w:val="008D1E7E"/>
    <w:rsid w:val="00905E1F"/>
    <w:rsid w:val="00905E21"/>
    <w:rsid w:val="00931163"/>
    <w:rsid w:val="009449CD"/>
    <w:rsid w:val="00967E42"/>
    <w:rsid w:val="009742EB"/>
    <w:rsid w:val="009C0EA1"/>
    <w:rsid w:val="009C2B86"/>
    <w:rsid w:val="009E61AE"/>
    <w:rsid w:val="009F0385"/>
    <w:rsid w:val="009F092A"/>
    <w:rsid w:val="009F1383"/>
    <w:rsid w:val="00A32CEF"/>
    <w:rsid w:val="00AA31B3"/>
    <w:rsid w:val="00AC4166"/>
    <w:rsid w:val="00AE762C"/>
    <w:rsid w:val="00B14085"/>
    <w:rsid w:val="00B472A7"/>
    <w:rsid w:val="00B47C1C"/>
    <w:rsid w:val="00B54B95"/>
    <w:rsid w:val="00B81A88"/>
    <w:rsid w:val="00BC6D7C"/>
    <w:rsid w:val="00BD21D9"/>
    <w:rsid w:val="00BD7E4A"/>
    <w:rsid w:val="00BE3C0A"/>
    <w:rsid w:val="00BE500C"/>
    <w:rsid w:val="00C932FA"/>
    <w:rsid w:val="00CB7178"/>
    <w:rsid w:val="00CC5D73"/>
    <w:rsid w:val="00DB110F"/>
    <w:rsid w:val="00DB1B90"/>
    <w:rsid w:val="00DF04C1"/>
    <w:rsid w:val="00E24EC7"/>
    <w:rsid w:val="00E2502C"/>
    <w:rsid w:val="00E93CF0"/>
    <w:rsid w:val="00EA1C2C"/>
    <w:rsid w:val="00EA1FBB"/>
    <w:rsid w:val="00EC37B5"/>
    <w:rsid w:val="00EC4AAF"/>
    <w:rsid w:val="00ED25BE"/>
    <w:rsid w:val="00ED33F7"/>
    <w:rsid w:val="00ED704A"/>
    <w:rsid w:val="00F0350F"/>
    <w:rsid w:val="00F26A94"/>
    <w:rsid w:val="00F45BF4"/>
    <w:rsid w:val="00F50989"/>
    <w:rsid w:val="00F52E54"/>
    <w:rsid w:val="00F56B41"/>
    <w:rsid w:val="00F92F59"/>
    <w:rsid w:val="00F96F86"/>
    <w:rsid w:val="00FC1129"/>
    <w:rsid w:val="00FD1912"/>
    <w:rsid w:val="09F07FDB"/>
    <w:rsid w:val="0F753435"/>
    <w:rsid w:val="184F1566"/>
    <w:rsid w:val="18F5022F"/>
    <w:rsid w:val="1B3B6B3C"/>
    <w:rsid w:val="1BB81686"/>
    <w:rsid w:val="1D5D5469"/>
    <w:rsid w:val="20CF0E59"/>
    <w:rsid w:val="2196343F"/>
    <w:rsid w:val="21FD4D56"/>
    <w:rsid w:val="2668261E"/>
    <w:rsid w:val="2C0F4030"/>
    <w:rsid w:val="31006A80"/>
    <w:rsid w:val="31480ED9"/>
    <w:rsid w:val="33584381"/>
    <w:rsid w:val="3A232879"/>
    <w:rsid w:val="3B29231C"/>
    <w:rsid w:val="50233062"/>
    <w:rsid w:val="51A35834"/>
    <w:rsid w:val="51D11C3C"/>
    <w:rsid w:val="62A516B3"/>
    <w:rsid w:val="63717F52"/>
    <w:rsid w:val="644D388A"/>
    <w:rsid w:val="65D46699"/>
    <w:rsid w:val="752B2D6C"/>
    <w:rsid w:val="76206196"/>
    <w:rsid w:val="7F09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HTML 预设格式 Char"/>
    <w:basedOn w:val="7"/>
    <w:link w:val="5"/>
    <w:qFormat/>
    <w:uiPriority w:val="99"/>
    <w:rPr>
      <w:rFonts w:ascii="宋体" w:hAnsi="宋体" w:cs="宋体"/>
      <w:sz w:val="24"/>
      <w:szCs w:val="24"/>
    </w:rPr>
  </w:style>
  <w:style w:type="character" w:customStyle="1" w:styleId="16">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7">
    <w:name w:val="Pa6"/>
    <w:basedOn w:val="18"/>
    <w:next w:val="18"/>
    <w:unhideWhenUsed/>
    <w:qFormat/>
    <w:uiPriority w:val="99"/>
    <w:pPr>
      <w:spacing w:beforeLines="0" w:afterLines="0" w:line="211" w:lineRule="atLeast"/>
    </w:pPr>
    <w:rPr>
      <w:rFonts w:hint="default"/>
      <w:sz w:val="24"/>
    </w:rPr>
  </w:style>
  <w:style w:type="paragraph" w:customStyle="1" w:styleId="18">
    <w:name w:val="Default"/>
    <w:unhideWhenUsed/>
    <w:qFormat/>
    <w:uiPriority w:val="99"/>
    <w:pPr>
      <w:widowControl w:val="0"/>
      <w:autoSpaceDE w:val="0"/>
      <w:autoSpaceDN w:val="0"/>
      <w:adjustRightInd w:val="0"/>
      <w:spacing w:beforeLines="0" w:afterLines="0"/>
    </w:pPr>
    <w:rPr>
      <w:rFonts w:hint="eastAsia" w:ascii="FZLanTingHei-L-GBK" w:hAnsi="FZLanTingHei-L-GBK" w:eastAsia="FZLanTingHei-L-GBK" w:cs="Times New Roman"/>
      <w:color w:val="000000"/>
      <w:sz w:val="24"/>
    </w:rPr>
  </w:style>
  <w:style w:type="paragraph" w:customStyle="1" w:styleId="19">
    <w:name w:val="Pa7"/>
    <w:basedOn w:val="18"/>
    <w:next w:val="18"/>
    <w:unhideWhenUsed/>
    <w:qFormat/>
    <w:uiPriority w:val="99"/>
    <w:pPr>
      <w:spacing w:beforeLines="0" w:afterLines="0" w:line="211" w:lineRule="atLeast"/>
    </w:pPr>
    <w:rPr>
      <w:rFonts w:hint="default"/>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950</Words>
  <Characters>5420</Characters>
  <Lines>45</Lines>
  <Paragraphs>12</Paragraphs>
  <TotalTime>12</TotalTime>
  <ScaleCrop>false</ScaleCrop>
  <LinksUpToDate>false</LinksUpToDate>
  <CharactersWithSpaces>6358</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2018-09-17T03:36:00Z</dcterms:created>
  <dc:creator>吴春花</dc:creator>
  <cp:lastModifiedBy>鲁小胖</cp:lastModifiedBy>
  <dcterms:modified xsi:type="dcterms:W3CDTF">2018-11-16T07:36:12Z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